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33CBA" w14:textId="43F59F9E" w:rsidR="00525010" w:rsidRPr="001C71E9" w:rsidRDefault="00352BCB" w:rsidP="00525010">
      <w:pPr>
        <w:spacing w:after="120" w:line="271" w:lineRule="auto"/>
        <w:rPr>
          <w:rFonts w:ascii="Arial" w:hAnsi="Arial" w:cs="Arial"/>
          <w:b/>
          <w:color w:val="000000" w:themeColor="text1"/>
          <w:sz w:val="32"/>
          <w:szCs w:val="32"/>
          <w:lang w:eastAsia="de-DE"/>
        </w:rPr>
      </w:pPr>
      <w:bookmarkStart w:id="0" w:name="_Hlk115272014"/>
      <w:r w:rsidRPr="001C71E9">
        <w:rPr>
          <w:rFonts w:ascii="Arial" w:hAnsi="Arial" w:cs="Arial"/>
          <w:b/>
          <w:color w:val="000000" w:themeColor="text1"/>
          <w:sz w:val="32"/>
          <w:szCs w:val="32"/>
          <w:lang w:eastAsia="de-DE"/>
        </w:rPr>
        <w:t>Rei</w:t>
      </w:r>
      <w:r w:rsidR="00DD558B" w:rsidRPr="001C71E9">
        <w:rPr>
          <w:rFonts w:ascii="Arial" w:hAnsi="Arial" w:cs="Arial"/>
          <w:b/>
          <w:color w:val="000000" w:themeColor="text1"/>
          <w:sz w:val="32"/>
          <w:szCs w:val="32"/>
          <w:lang w:eastAsia="de-DE"/>
        </w:rPr>
        <w:t>f</w:t>
      </w:r>
      <w:r w:rsidRPr="001C71E9">
        <w:rPr>
          <w:rFonts w:ascii="Arial" w:hAnsi="Arial" w:cs="Arial"/>
          <w:b/>
          <w:color w:val="000000" w:themeColor="text1"/>
          <w:sz w:val="32"/>
          <w:szCs w:val="32"/>
          <w:lang w:eastAsia="de-DE"/>
        </w:rPr>
        <w:t>en</w:t>
      </w:r>
      <w:r w:rsidR="00855889" w:rsidRPr="001C71E9">
        <w:rPr>
          <w:rFonts w:ascii="Arial" w:hAnsi="Arial" w:cs="Arial"/>
          <w:b/>
          <w:color w:val="000000" w:themeColor="text1"/>
          <w:sz w:val="32"/>
          <w:szCs w:val="32"/>
          <w:lang w:eastAsia="de-DE"/>
        </w:rPr>
        <w:t xml:space="preserve"> </w:t>
      </w:r>
      <w:r w:rsidRPr="001C71E9">
        <w:rPr>
          <w:rFonts w:ascii="Arial" w:hAnsi="Arial" w:cs="Arial"/>
          <w:b/>
          <w:color w:val="000000" w:themeColor="text1"/>
          <w:sz w:val="32"/>
          <w:szCs w:val="32"/>
          <w:lang w:eastAsia="de-DE"/>
        </w:rPr>
        <w:t xml:space="preserve">Hinghaus </w:t>
      </w:r>
      <w:r w:rsidR="00162C7A">
        <w:rPr>
          <w:rFonts w:ascii="Arial" w:hAnsi="Arial" w:cs="Arial"/>
          <w:b/>
          <w:color w:val="000000" w:themeColor="text1"/>
          <w:sz w:val="32"/>
          <w:szCs w:val="32"/>
          <w:lang w:eastAsia="de-DE"/>
        </w:rPr>
        <w:t>in</w:t>
      </w:r>
      <w:r w:rsidR="005E19A9" w:rsidRPr="001C71E9">
        <w:rPr>
          <w:rFonts w:ascii="Arial" w:hAnsi="Arial" w:cs="Arial"/>
          <w:b/>
          <w:color w:val="000000" w:themeColor="text1"/>
          <w:sz w:val="32"/>
          <w:szCs w:val="32"/>
          <w:lang w:eastAsia="de-DE"/>
        </w:rPr>
        <w:t xml:space="preserve"> vorläufige</w:t>
      </w:r>
      <w:r w:rsidR="00162C7A">
        <w:rPr>
          <w:rFonts w:ascii="Arial" w:hAnsi="Arial" w:cs="Arial"/>
          <w:b/>
          <w:color w:val="000000" w:themeColor="text1"/>
          <w:sz w:val="32"/>
          <w:szCs w:val="32"/>
          <w:lang w:eastAsia="de-DE"/>
        </w:rPr>
        <w:t>r</w:t>
      </w:r>
      <w:r w:rsidR="005E19A9" w:rsidRPr="001C71E9">
        <w:rPr>
          <w:rFonts w:ascii="Arial" w:hAnsi="Arial" w:cs="Arial"/>
          <w:b/>
          <w:color w:val="000000" w:themeColor="text1"/>
          <w:sz w:val="32"/>
          <w:szCs w:val="32"/>
          <w:lang w:eastAsia="de-DE"/>
        </w:rPr>
        <w:t xml:space="preserve"> Insolvenz</w:t>
      </w:r>
      <w:r w:rsidRPr="001C71E9">
        <w:rPr>
          <w:rFonts w:ascii="Arial" w:hAnsi="Arial" w:cs="Arial"/>
          <w:b/>
          <w:color w:val="000000" w:themeColor="text1"/>
          <w:sz w:val="32"/>
          <w:szCs w:val="32"/>
          <w:lang w:eastAsia="de-DE"/>
        </w:rPr>
        <w:t xml:space="preserve">: Letzter deutscher Runderneuerer </w:t>
      </w:r>
      <w:r w:rsidR="005E19A9" w:rsidRPr="001C71E9">
        <w:rPr>
          <w:rFonts w:ascii="Arial" w:hAnsi="Arial" w:cs="Arial"/>
          <w:b/>
          <w:color w:val="000000" w:themeColor="text1"/>
          <w:sz w:val="32"/>
          <w:szCs w:val="32"/>
          <w:lang w:eastAsia="de-DE"/>
        </w:rPr>
        <w:t>von Pkw- und Transporter-Reifen wie jüngst die Neureifenhersteller betroffen von</w:t>
      </w:r>
      <w:r w:rsidRPr="001C71E9">
        <w:rPr>
          <w:rFonts w:ascii="Arial" w:hAnsi="Arial" w:cs="Arial"/>
          <w:b/>
          <w:color w:val="000000" w:themeColor="text1"/>
          <w:sz w:val="32"/>
          <w:szCs w:val="32"/>
          <w:lang w:eastAsia="de-DE"/>
        </w:rPr>
        <w:t xml:space="preserve"> Billig-Importreifen, hohen Energiepreisen und wirtschaftlichen Rahmenbedingungen</w:t>
      </w:r>
    </w:p>
    <w:p w14:paraId="5B2B90C6" w14:textId="4B98215B" w:rsidR="00A814A3" w:rsidRPr="001C71E9" w:rsidRDefault="00211278" w:rsidP="00B655FB">
      <w:pPr>
        <w:spacing w:after="120" w:line="271" w:lineRule="auto"/>
        <w:rPr>
          <w:rFonts w:ascii="Arial" w:hAnsi="Arial" w:cs="Arial"/>
          <w:b/>
          <w:color w:val="000000" w:themeColor="text1"/>
          <w:lang w:eastAsia="de-DE"/>
        </w:rPr>
      </w:pPr>
      <w:bookmarkStart w:id="1" w:name="_Hlk143526978"/>
      <w:bookmarkEnd w:id="0"/>
      <w:r w:rsidRPr="001C71E9">
        <w:rPr>
          <w:rFonts w:ascii="Arial" w:hAnsi="Arial" w:cs="Arial"/>
          <w:b/>
          <w:color w:val="000000" w:themeColor="text1"/>
          <w:lang w:eastAsia="de-DE"/>
        </w:rPr>
        <w:t>Dissen</w:t>
      </w:r>
      <w:r w:rsidR="00B655FB" w:rsidRPr="001C71E9">
        <w:rPr>
          <w:rFonts w:ascii="Arial" w:hAnsi="Arial" w:cs="Arial"/>
          <w:b/>
          <w:color w:val="000000" w:themeColor="text1"/>
          <w:lang w:eastAsia="de-DE"/>
        </w:rPr>
        <w:t xml:space="preserve">/Willich, </w:t>
      </w:r>
      <w:r w:rsidRPr="001C71E9">
        <w:rPr>
          <w:rFonts w:ascii="Arial" w:hAnsi="Arial" w:cs="Arial"/>
          <w:b/>
          <w:color w:val="000000" w:themeColor="text1"/>
          <w:lang w:eastAsia="de-DE"/>
        </w:rPr>
        <w:t>2</w:t>
      </w:r>
      <w:r w:rsidR="00B24B2E">
        <w:rPr>
          <w:rFonts w:ascii="Arial" w:hAnsi="Arial" w:cs="Arial"/>
          <w:b/>
          <w:color w:val="000000" w:themeColor="text1"/>
          <w:lang w:eastAsia="de-DE"/>
        </w:rPr>
        <w:t>9</w:t>
      </w:r>
      <w:r w:rsidR="00B655FB" w:rsidRPr="001C71E9">
        <w:rPr>
          <w:rFonts w:ascii="Arial" w:hAnsi="Arial" w:cs="Arial"/>
          <w:b/>
          <w:color w:val="000000" w:themeColor="text1"/>
          <w:lang w:eastAsia="de-DE"/>
        </w:rPr>
        <w:t>. April 2024.</w:t>
      </w:r>
      <w:r w:rsidR="002A26B5" w:rsidRPr="001C71E9">
        <w:rPr>
          <w:rFonts w:ascii="Arial" w:hAnsi="Arial" w:cs="Arial"/>
          <w:b/>
          <w:color w:val="000000" w:themeColor="text1"/>
          <w:lang w:eastAsia="de-DE"/>
        </w:rPr>
        <w:t xml:space="preserve"> Wie viele andere Branchen ächzt auch die europäische Reifen-Industrie unter Überregulierung, Bürokratie, Fachkräftemangel und hohen (Energie-)Preisen. Hinzu kommt eine Marktüberschwemmung durch Billig-Importreifen aus Fernost</w:t>
      </w:r>
      <w:r w:rsidR="00AB75CB" w:rsidRPr="001C71E9">
        <w:rPr>
          <w:rFonts w:ascii="Arial" w:hAnsi="Arial" w:cs="Arial"/>
          <w:b/>
          <w:color w:val="000000" w:themeColor="text1"/>
          <w:lang w:eastAsia="de-DE"/>
        </w:rPr>
        <w:t xml:space="preserve"> und mangelnde Unterstützung von Seiten der Politik, etwa durch angemessene Schutzzölle, was vermehrt zur Schließung</w:t>
      </w:r>
      <w:r w:rsidR="00F04842" w:rsidRPr="001C71E9">
        <w:rPr>
          <w:rFonts w:ascii="Arial" w:hAnsi="Arial" w:cs="Arial"/>
          <w:b/>
          <w:color w:val="000000" w:themeColor="text1"/>
          <w:lang w:eastAsia="de-DE"/>
        </w:rPr>
        <w:t xml:space="preserve"> deutscher Standorte von namhaften Reifenherstellern führt.</w:t>
      </w:r>
      <w:r w:rsidR="00AB75CB" w:rsidRPr="001C71E9">
        <w:rPr>
          <w:rFonts w:ascii="Arial" w:hAnsi="Arial" w:cs="Arial"/>
          <w:b/>
          <w:color w:val="000000" w:themeColor="text1"/>
          <w:lang w:eastAsia="de-DE"/>
        </w:rPr>
        <w:t xml:space="preserve"> Auch der </w:t>
      </w:r>
      <w:r w:rsidR="007E5EC9" w:rsidRPr="001C71E9">
        <w:rPr>
          <w:rFonts w:ascii="Arial" w:hAnsi="Arial" w:cs="Arial"/>
          <w:b/>
          <w:color w:val="000000" w:themeColor="text1"/>
          <w:lang w:eastAsia="de-DE"/>
        </w:rPr>
        <w:t xml:space="preserve">zukunftsfähige </w:t>
      </w:r>
      <w:r w:rsidR="00AB75CB" w:rsidRPr="001C71E9">
        <w:rPr>
          <w:rFonts w:ascii="Arial" w:hAnsi="Arial" w:cs="Arial"/>
          <w:b/>
          <w:color w:val="000000" w:themeColor="text1"/>
          <w:lang w:eastAsia="de-DE"/>
        </w:rPr>
        <w:t xml:space="preserve">Markt für runderneuerte Reifen, die bei identischer Qualität, Sicherheit und Performance wie Neureifen klare ökologische und gesamtwirtschaftliche Vorteile bieten, leidet unter den Rahmenbedingungen. </w:t>
      </w:r>
      <w:r w:rsidR="00A814A3" w:rsidRPr="001C71E9">
        <w:rPr>
          <w:rFonts w:ascii="Arial" w:hAnsi="Arial" w:cs="Arial"/>
          <w:b/>
          <w:color w:val="000000" w:themeColor="text1"/>
          <w:lang w:eastAsia="de-DE"/>
        </w:rPr>
        <w:t>Mit Reifen</w:t>
      </w:r>
      <w:r w:rsidR="00855889" w:rsidRPr="001C71E9">
        <w:rPr>
          <w:rFonts w:ascii="Arial" w:hAnsi="Arial" w:cs="Arial"/>
          <w:b/>
          <w:color w:val="000000" w:themeColor="text1"/>
          <w:lang w:eastAsia="de-DE"/>
        </w:rPr>
        <w:t xml:space="preserve"> </w:t>
      </w:r>
      <w:r w:rsidR="00A814A3" w:rsidRPr="001C71E9">
        <w:rPr>
          <w:rFonts w:ascii="Arial" w:hAnsi="Arial" w:cs="Arial"/>
          <w:b/>
          <w:color w:val="000000" w:themeColor="text1"/>
          <w:lang w:eastAsia="de-DE"/>
        </w:rPr>
        <w:t xml:space="preserve">Hinghaus musste jetzt auch </w:t>
      </w:r>
      <w:r w:rsidR="00F04842" w:rsidRPr="001C71E9">
        <w:rPr>
          <w:rFonts w:ascii="Arial" w:hAnsi="Arial" w:cs="Arial"/>
          <w:b/>
        </w:rPr>
        <w:t>der</w:t>
      </w:r>
      <w:r w:rsidR="00A814A3" w:rsidRPr="001C71E9">
        <w:rPr>
          <w:rFonts w:ascii="Arial" w:hAnsi="Arial" w:cs="Arial"/>
          <w:b/>
        </w:rPr>
        <w:t xml:space="preserve"> letzte </w:t>
      </w:r>
      <w:r w:rsidR="00F04842" w:rsidRPr="001C71E9">
        <w:rPr>
          <w:rFonts w:ascii="Arial" w:hAnsi="Arial" w:cs="Arial"/>
          <w:b/>
        </w:rPr>
        <w:t xml:space="preserve">deutsche </w:t>
      </w:r>
      <w:r w:rsidR="00A814A3" w:rsidRPr="001C71E9">
        <w:rPr>
          <w:rFonts w:ascii="Arial" w:hAnsi="Arial" w:cs="Arial"/>
          <w:b/>
        </w:rPr>
        <w:t>Reifenrunderneuer</w:t>
      </w:r>
      <w:r w:rsidR="00F04842" w:rsidRPr="001C71E9">
        <w:rPr>
          <w:rFonts w:ascii="Arial" w:hAnsi="Arial" w:cs="Arial"/>
          <w:b/>
        </w:rPr>
        <w:t>er</w:t>
      </w:r>
      <w:r w:rsidR="00A814A3" w:rsidRPr="001C71E9">
        <w:rPr>
          <w:rFonts w:ascii="Arial" w:hAnsi="Arial" w:cs="Arial"/>
          <w:b/>
        </w:rPr>
        <w:t xml:space="preserve"> </w:t>
      </w:r>
      <w:r w:rsidR="005E19A9" w:rsidRPr="001C71E9">
        <w:rPr>
          <w:rFonts w:ascii="Arial" w:hAnsi="Arial" w:cs="Arial"/>
          <w:b/>
        </w:rPr>
        <w:t xml:space="preserve">für Pkw &amp; Llkw </w:t>
      </w:r>
      <w:r w:rsidR="00A814A3" w:rsidRPr="001C71E9">
        <w:rPr>
          <w:rFonts w:ascii="Arial" w:hAnsi="Arial" w:cs="Arial"/>
          <w:b/>
        </w:rPr>
        <w:t xml:space="preserve">daraus Konsequenzen ziehen und </w:t>
      </w:r>
      <w:r w:rsidR="00162C7A">
        <w:rPr>
          <w:rFonts w:ascii="Arial" w:hAnsi="Arial" w:cs="Arial"/>
          <w:b/>
        </w:rPr>
        <w:t>einen</w:t>
      </w:r>
      <w:r w:rsidR="005E19A9" w:rsidRPr="001C71E9">
        <w:rPr>
          <w:rFonts w:ascii="Arial" w:hAnsi="Arial" w:cs="Arial"/>
          <w:b/>
        </w:rPr>
        <w:t xml:space="preserve"> </w:t>
      </w:r>
      <w:r w:rsidR="00162C7A">
        <w:rPr>
          <w:rFonts w:ascii="Arial" w:hAnsi="Arial" w:cs="Arial"/>
          <w:b/>
        </w:rPr>
        <w:t>Antrag auf</w:t>
      </w:r>
      <w:r w:rsidR="005E19A9" w:rsidRPr="001C71E9">
        <w:rPr>
          <w:rFonts w:ascii="Arial" w:hAnsi="Arial" w:cs="Arial"/>
          <w:b/>
        </w:rPr>
        <w:t xml:space="preserve"> </w:t>
      </w:r>
      <w:r w:rsidR="00A814A3" w:rsidRPr="001C71E9">
        <w:rPr>
          <w:rFonts w:ascii="Arial" w:hAnsi="Arial" w:cs="Arial"/>
          <w:b/>
        </w:rPr>
        <w:t xml:space="preserve">Insolvenz </w:t>
      </w:r>
      <w:r w:rsidR="00162C7A">
        <w:rPr>
          <w:rFonts w:ascii="Arial" w:hAnsi="Arial" w:cs="Arial"/>
          <w:b/>
        </w:rPr>
        <w:t>stellen</w:t>
      </w:r>
      <w:r w:rsidR="00A814A3" w:rsidRPr="001C71E9">
        <w:rPr>
          <w:rFonts w:ascii="Arial" w:hAnsi="Arial" w:cs="Arial"/>
          <w:b/>
        </w:rPr>
        <w:t>.</w:t>
      </w:r>
      <w:r w:rsidR="00A814A3" w:rsidRPr="001C71E9">
        <w:rPr>
          <w:rFonts w:ascii="Arial" w:hAnsi="Arial" w:cs="Arial"/>
        </w:rPr>
        <w:t xml:space="preserve"> </w:t>
      </w:r>
    </w:p>
    <w:p w14:paraId="3B39006D" w14:textId="773E7C1B" w:rsidR="005E7089" w:rsidRPr="001C71E9" w:rsidRDefault="00A814A3" w:rsidP="00B655FB">
      <w:pPr>
        <w:spacing w:after="120" w:line="271" w:lineRule="auto"/>
        <w:rPr>
          <w:rFonts w:ascii="Arial" w:hAnsi="Arial" w:cs="Arial"/>
        </w:rPr>
      </w:pPr>
      <w:r w:rsidRPr="001C71E9">
        <w:rPr>
          <w:rFonts w:ascii="Arial" w:hAnsi="Arial" w:cs="Arial"/>
        </w:rPr>
        <w:t xml:space="preserve">Geschäftsführer Mark Hinghaus-Kaul bedauert, </w:t>
      </w:r>
      <w:r w:rsidR="005E19A9" w:rsidRPr="001C71E9">
        <w:rPr>
          <w:rFonts w:ascii="Arial" w:hAnsi="Arial" w:cs="Arial"/>
        </w:rPr>
        <w:t xml:space="preserve">die </w:t>
      </w:r>
      <w:r w:rsidRPr="001C71E9">
        <w:rPr>
          <w:rFonts w:ascii="Arial" w:hAnsi="Arial" w:cs="Arial"/>
        </w:rPr>
        <w:t xml:space="preserve">Insolvenz </w:t>
      </w:r>
      <w:r w:rsidR="005E19A9" w:rsidRPr="001C71E9">
        <w:rPr>
          <w:rFonts w:ascii="Arial" w:hAnsi="Arial" w:cs="Arial"/>
        </w:rPr>
        <w:t xml:space="preserve">beantragen zu müssen – </w:t>
      </w:r>
      <w:r w:rsidRPr="001C71E9">
        <w:rPr>
          <w:rFonts w:ascii="Arial" w:hAnsi="Arial" w:cs="Arial"/>
        </w:rPr>
        <w:t>trotz der erwiesenen Qualität der runderneuerten King-Meiler Pkw-</w:t>
      </w:r>
      <w:r w:rsidR="005E19A9" w:rsidRPr="001C71E9">
        <w:rPr>
          <w:rFonts w:ascii="Arial" w:hAnsi="Arial" w:cs="Arial"/>
        </w:rPr>
        <w:t xml:space="preserve"> und Transporter-</w:t>
      </w:r>
      <w:r w:rsidRPr="001C71E9">
        <w:rPr>
          <w:rFonts w:ascii="Arial" w:hAnsi="Arial" w:cs="Arial"/>
        </w:rPr>
        <w:t>Reifen</w:t>
      </w:r>
      <w:r w:rsidR="009B6385" w:rsidRPr="001C71E9">
        <w:rPr>
          <w:rFonts w:ascii="Arial" w:hAnsi="Arial" w:cs="Arial"/>
        </w:rPr>
        <w:t xml:space="preserve"> und modernster Technologie.</w:t>
      </w:r>
      <w:r w:rsidR="005E7089" w:rsidRPr="001C71E9">
        <w:rPr>
          <w:rFonts w:ascii="Arial" w:hAnsi="Arial" w:cs="Arial"/>
        </w:rPr>
        <w:t xml:space="preserve"> Das Amtsgericht Osnabrück hat nun durch Beschluss vom 23.04.2024 Rechtsanwalt Dr. Peter Jacob aus Osnabrück zum vorläufigen Insolvenzverwalter bestellt. </w:t>
      </w:r>
      <w:r w:rsidR="005E19A9" w:rsidRPr="001C71E9">
        <w:rPr>
          <w:rFonts w:ascii="Arial" w:hAnsi="Arial" w:cs="Arial"/>
        </w:rPr>
        <w:t xml:space="preserve">An </w:t>
      </w:r>
      <w:r w:rsidR="005E7089" w:rsidRPr="001C71E9">
        <w:rPr>
          <w:rFonts w:ascii="Arial" w:hAnsi="Arial" w:cs="Arial"/>
        </w:rPr>
        <w:br/>
      </w:r>
      <w:r w:rsidR="005E19A9" w:rsidRPr="001C71E9">
        <w:rPr>
          <w:rFonts w:ascii="Arial" w:hAnsi="Arial" w:cs="Arial"/>
        </w:rPr>
        <w:t xml:space="preserve">einem Sanierungskonzept wird gearbeitet. </w:t>
      </w:r>
    </w:p>
    <w:p w14:paraId="79D9867B" w14:textId="7C77C507" w:rsidR="00956466" w:rsidRPr="001C71E9" w:rsidRDefault="005E19A9" w:rsidP="005E7089">
      <w:pPr>
        <w:spacing w:after="120" w:line="271" w:lineRule="auto"/>
        <w:rPr>
          <w:rFonts w:ascii="Arial" w:hAnsi="Arial" w:cs="Arial"/>
        </w:rPr>
      </w:pPr>
      <w:r w:rsidRPr="001C71E9">
        <w:rPr>
          <w:rFonts w:ascii="Arial" w:hAnsi="Arial" w:cs="Arial"/>
        </w:rPr>
        <w:t xml:space="preserve">Das </w:t>
      </w:r>
      <w:r w:rsidR="00956466" w:rsidRPr="001C71E9">
        <w:rPr>
          <w:rFonts w:ascii="Arial" w:hAnsi="Arial" w:cs="Arial"/>
        </w:rPr>
        <w:t xml:space="preserve">vor über 70 Jahren gegründete Traditionsunternehmen hat sein Portfolio </w:t>
      </w:r>
      <w:r w:rsidRPr="001C71E9">
        <w:rPr>
          <w:rFonts w:ascii="Arial" w:hAnsi="Arial" w:cs="Arial"/>
        </w:rPr>
        <w:t xml:space="preserve">wiederholt </w:t>
      </w:r>
      <w:r w:rsidR="00956466" w:rsidRPr="001C71E9">
        <w:rPr>
          <w:rFonts w:ascii="Arial" w:hAnsi="Arial" w:cs="Arial"/>
        </w:rPr>
        <w:t>marktgerecht angepasst und die Prozessabläufe modernisiert.</w:t>
      </w:r>
      <w:r w:rsidRPr="001C71E9">
        <w:rPr>
          <w:rFonts w:ascii="Arial" w:hAnsi="Arial" w:cs="Arial"/>
        </w:rPr>
        <w:t xml:space="preserve"> </w:t>
      </w:r>
      <w:r w:rsidR="005E7089" w:rsidRPr="001C71E9">
        <w:rPr>
          <w:rFonts w:ascii="Arial" w:hAnsi="Arial" w:cs="Arial"/>
        </w:rPr>
        <w:t>Beispielsweise stattet der Chemiekonzern BASF alle Dienstfahrzeuge des Standorts Ludwigshafen sukzessive mit runderneuerten Qualitätsreifen der Marke King-Meiler aus</w:t>
      </w:r>
      <w:r w:rsidR="00924813" w:rsidRPr="001C71E9">
        <w:rPr>
          <w:rFonts w:ascii="Arial" w:hAnsi="Arial" w:cs="Arial"/>
        </w:rPr>
        <w:t xml:space="preserve">. </w:t>
      </w:r>
      <w:r w:rsidR="00956466" w:rsidRPr="001C71E9">
        <w:rPr>
          <w:rFonts w:ascii="Arial" w:hAnsi="Arial" w:cs="Arial"/>
        </w:rPr>
        <w:t>Zudem hat Reifen</w:t>
      </w:r>
      <w:r w:rsidR="00855889" w:rsidRPr="001C71E9">
        <w:rPr>
          <w:rFonts w:ascii="Arial" w:hAnsi="Arial" w:cs="Arial"/>
        </w:rPr>
        <w:t xml:space="preserve"> </w:t>
      </w:r>
      <w:r w:rsidR="00956466" w:rsidRPr="001C71E9">
        <w:rPr>
          <w:rFonts w:ascii="Arial" w:hAnsi="Arial" w:cs="Arial"/>
        </w:rPr>
        <w:t>Hinghaus in Forschung  und Entwicklung sowie in neue Materialen für die Runderneuerung investiert. Unter anderem wurden Compounds optimiert und eigene Lauf</w:t>
      </w:r>
      <w:r w:rsidRPr="001C71E9">
        <w:rPr>
          <w:rFonts w:ascii="Arial" w:hAnsi="Arial" w:cs="Arial"/>
        </w:rPr>
        <w:softHyphen/>
      </w:r>
      <w:r w:rsidR="00956466" w:rsidRPr="001C71E9">
        <w:rPr>
          <w:rFonts w:ascii="Arial" w:hAnsi="Arial" w:cs="Arial"/>
        </w:rPr>
        <w:t xml:space="preserve">flächenmischungen entwickelt. Der </w:t>
      </w:r>
      <w:r w:rsidR="005E7089" w:rsidRPr="001C71E9">
        <w:rPr>
          <w:rFonts w:ascii="Arial" w:hAnsi="Arial" w:cs="Arial"/>
        </w:rPr>
        <w:br/>
      </w:r>
      <w:r w:rsidR="00956466" w:rsidRPr="001C71E9">
        <w:rPr>
          <w:rFonts w:ascii="Arial" w:hAnsi="Arial" w:cs="Arial"/>
        </w:rPr>
        <w:t>Gewinn der European Drift Challenge 2023 bestätigte die hohe Qualität und Performance der runderneuerten King-Meiler-Reifen, die im Rennsport extremen Belastungen standhalten.</w:t>
      </w:r>
    </w:p>
    <w:p w14:paraId="4D4A064C" w14:textId="70748C04" w:rsidR="007C171E" w:rsidRPr="001C71E9" w:rsidRDefault="005E19A9" w:rsidP="007C171E">
      <w:pPr>
        <w:spacing w:after="120" w:line="271" w:lineRule="auto"/>
        <w:rPr>
          <w:rFonts w:ascii="Arial" w:hAnsi="Arial" w:cs="Arial"/>
          <w:b/>
          <w:color w:val="000000" w:themeColor="text1"/>
          <w:lang w:eastAsia="de-DE"/>
        </w:rPr>
      </w:pPr>
      <w:r w:rsidRPr="001C71E9">
        <w:rPr>
          <w:rFonts w:ascii="Arial" w:hAnsi="Arial" w:cs="Arial"/>
          <w:b/>
          <w:color w:val="000000" w:themeColor="text1"/>
          <w:lang w:eastAsia="de-DE"/>
        </w:rPr>
        <w:t xml:space="preserve">Vorläufige </w:t>
      </w:r>
      <w:r w:rsidR="007C171E" w:rsidRPr="001C71E9">
        <w:rPr>
          <w:rFonts w:ascii="Arial" w:hAnsi="Arial" w:cs="Arial"/>
          <w:b/>
          <w:color w:val="000000" w:themeColor="text1"/>
          <w:lang w:eastAsia="de-DE"/>
        </w:rPr>
        <w:t>Insolven</w:t>
      </w:r>
      <w:r w:rsidR="00352BCB" w:rsidRPr="001C71E9">
        <w:rPr>
          <w:rFonts w:ascii="Arial" w:hAnsi="Arial" w:cs="Arial"/>
          <w:b/>
          <w:color w:val="000000" w:themeColor="text1"/>
          <w:lang w:eastAsia="de-DE"/>
        </w:rPr>
        <w:t>z</w:t>
      </w:r>
      <w:r w:rsidR="007C171E" w:rsidRPr="001C71E9">
        <w:rPr>
          <w:rFonts w:ascii="Arial" w:hAnsi="Arial" w:cs="Arial"/>
          <w:b/>
          <w:color w:val="000000" w:themeColor="text1"/>
          <w:lang w:eastAsia="de-DE"/>
        </w:rPr>
        <w:t xml:space="preserve"> trotz</w:t>
      </w:r>
      <w:r w:rsidR="00352BCB" w:rsidRPr="001C71E9">
        <w:rPr>
          <w:rFonts w:ascii="Arial" w:hAnsi="Arial" w:cs="Arial"/>
          <w:b/>
          <w:color w:val="000000" w:themeColor="text1"/>
          <w:lang w:eastAsia="de-DE"/>
        </w:rPr>
        <w:t xml:space="preserve"> erwiesener Qualität und innovativer Technologie</w:t>
      </w:r>
      <w:r w:rsidR="007C171E" w:rsidRPr="001C71E9">
        <w:rPr>
          <w:rFonts w:ascii="Arial" w:hAnsi="Arial" w:cs="Arial"/>
          <w:b/>
          <w:color w:val="000000" w:themeColor="text1"/>
          <w:lang w:eastAsia="de-DE"/>
        </w:rPr>
        <w:t xml:space="preserve">   </w:t>
      </w:r>
    </w:p>
    <w:p w14:paraId="0AE6BDA8" w14:textId="2052A782" w:rsidR="00AD0C02" w:rsidRPr="001C71E9" w:rsidRDefault="009B6385" w:rsidP="00B655FB">
      <w:pPr>
        <w:spacing w:after="120" w:line="271" w:lineRule="auto"/>
        <w:rPr>
          <w:rFonts w:ascii="Arial" w:hAnsi="Arial" w:cs="Arial"/>
        </w:rPr>
      </w:pPr>
      <w:r w:rsidRPr="001C71E9">
        <w:rPr>
          <w:rFonts w:ascii="Arial" w:hAnsi="Arial" w:cs="Arial"/>
        </w:rPr>
        <w:t xml:space="preserve">Das gemeinsame Engagement mit der Allianz Zukunft Reifen (AZuR), die das Thema Runderneuerung mit politischen Appellen, Messeauftritten, Fachvorträgen und der positiven Ökobilanz der Runderneuerung durch das Fraunhofer Institut unterstützt, habe zudem </w:t>
      </w:r>
      <w:r w:rsidRPr="001C71E9">
        <w:rPr>
          <w:rFonts w:ascii="Arial" w:hAnsi="Arial" w:cs="Arial"/>
        </w:rPr>
        <w:br/>
        <w:t>in den letzten Monaten zu „vermehrtem Zuspruch durch die Bevölkerung und wachsender Aufmerksamkeit in Medien und Politik“ geführt. Doch die</w:t>
      </w:r>
      <w:r w:rsidR="001C27AC" w:rsidRPr="001C71E9">
        <w:rPr>
          <w:rFonts w:ascii="Arial" w:hAnsi="Arial" w:cs="Arial"/>
        </w:rPr>
        <w:t xml:space="preserve"> „</w:t>
      </w:r>
      <w:r w:rsidRPr="001C71E9">
        <w:rPr>
          <w:rFonts w:ascii="Arial" w:hAnsi="Arial" w:cs="Arial"/>
        </w:rPr>
        <w:t xml:space="preserve">schlechte marktwirtschaftliche Lage </w:t>
      </w:r>
      <w:r w:rsidR="001C27AC" w:rsidRPr="001C71E9">
        <w:rPr>
          <w:rFonts w:ascii="Arial" w:hAnsi="Arial" w:cs="Arial"/>
        </w:rPr>
        <w:br/>
      </w:r>
      <w:r w:rsidRPr="001C71E9">
        <w:rPr>
          <w:rFonts w:ascii="Arial" w:hAnsi="Arial" w:cs="Arial"/>
        </w:rPr>
        <w:t>im Land, de</w:t>
      </w:r>
      <w:r w:rsidR="001C27AC" w:rsidRPr="001C71E9">
        <w:rPr>
          <w:rFonts w:ascii="Arial" w:hAnsi="Arial" w:cs="Arial"/>
        </w:rPr>
        <w:t>r</w:t>
      </w:r>
      <w:r w:rsidRPr="001C71E9">
        <w:rPr>
          <w:rFonts w:ascii="Arial" w:hAnsi="Arial" w:cs="Arial"/>
        </w:rPr>
        <w:t xml:space="preserve"> Preisdruck im Energiesektor</w:t>
      </w:r>
      <w:r w:rsidR="00F04842" w:rsidRPr="001C71E9">
        <w:rPr>
          <w:rFonts w:ascii="Arial" w:hAnsi="Arial" w:cs="Arial"/>
        </w:rPr>
        <w:t>, die Billig-Importreifen</w:t>
      </w:r>
      <w:r w:rsidRPr="001C71E9">
        <w:rPr>
          <w:rFonts w:ascii="Arial" w:hAnsi="Arial" w:cs="Arial"/>
        </w:rPr>
        <w:t xml:space="preserve"> und </w:t>
      </w:r>
      <w:r w:rsidR="001C27AC" w:rsidRPr="001C71E9">
        <w:rPr>
          <w:rFonts w:ascii="Arial" w:hAnsi="Arial" w:cs="Arial"/>
        </w:rPr>
        <w:t xml:space="preserve">die </w:t>
      </w:r>
      <w:r w:rsidRPr="001C71E9">
        <w:rPr>
          <w:rFonts w:ascii="Arial" w:hAnsi="Arial" w:cs="Arial"/>
        </w:rPr>
        <w:t xml:space="preserve">Versäumnisse in </w:t>
      </w:r>
      <w:r w:rsidR="00F04842" w:rsidRPr="001C71E9">
        <w:rPr>
          <w:rFonts w:ascii="Arial" w:hAnsi="Arial" w:cs="Arial"/>
        </w:rPr>
        <w:br/>
      </w:r>
      <w:r w:rsidRPr="001C71E9">
        <w:rPr>
          <w:rFonts w:ascii="Arial" w:hAnsi="Arial" w:cs="Arial"/>
        </w:rPr>
        <w:t>der Politik</w:t>
      </w:r>
      <w:r w:rsidR="001C27AC" w:rsidRPr="001C71E9">
        <w:rPr>
          <w:rFonts w:ascii="Arial" w:hAnsi="Arial" w:cs="Arial"/>
        </w:rPr>
        <w:t xml:space="preserve"> </w:t>
      </w:r>
      <w:r w:rsidR="00F04842" w:rsidRPr="001C71E9">
        <w:rPr>
          <w:rFonts w:ascii="Arial" w:hAnsi="Arial" w:cs="Arial"/>
        </w:rPr>
        <w:t>haben</w:t>
      </w:r>
      <w:r w:rsidR="001C27AC" w:rsidRPr="001C71E9">
        <w:rPr>
          <w:rFonts w:ascii="Arial" w:hAnsi="Arial" w:cs="Arial"/>
        </w:rPr>
        <w:t xml:space="preserve"> uns </w:t>
      </w:r>
      <w:r w:rsidR="005E19A9" w:rsidRPr="001C71E9">
        <w:rPr>
          <w:rFonts w:ascii="Arial" w:hAnsi="Arial" w:cs="Arial"/>
        </w:rPr>
        <w:t>zu diesem Schritt geführt</w:t>
      </w:r>
      <w:r w:rsidR="001C27AC" w:rsidRPr="001C71E9">
        <w:rPr>
          <w:rFonts w:ascii="Arial" w:hAnsi="Arial" w:cs="Arial"/>
        </w:rPr>
        <w:t>“, betont Hinghaus-Kaul.</w:t>
      </w:r>
    </w:p>
    <w:p w14:paraId="4E90F704" w14:textId="65E6940A" w:rsidR="00F04842" w:rsidRPr="001C71E9" w:rsidRDefault="00AD0C02" w:rsidP="00AD0C02">
      <w:pPr>
        <w:spacing w:after="120" w:line="271" w:lineRule="auto"/>
        <w:rPr>
          <w:rFonts w:ascii="Arial" w:hAnsi="Arial" w:cs="Arial"/>
        </w:rPr>
      </w:pPr>
      <w:r w:rsidRPr="001C71E9">
        <w:rPr>
          <w:rFonts w:ascii="Arial" w:hAnsi="Arial" w:cs="Arial"/>
        </w:rPr>
        <w:lastRenderedPageBreak/>
        <w:t xml:space="preserve">Auch wenn das Umweltbewusstsein in der Bevölkerung wächst und in der Politik endlich die ökologischen </w:t>
      </w:r>
      <w:r w:rsidR="00F04842" w:rsidRPr="001C71E9">
        <w:rPr>
          <w:rFonts w:ascii="Arial" w:hAnsi="Arial" w:cs="Arial"/>
        </w:rPr>
        <w:t>und</w:t>
      </w:r>
      <w:r w:rsidRPr="001C71E9">
        <w:rPr>
          <w:rFonts w:ascii="Arial" w:hAnsi="Arial" w:cs="Arial"/>
        </w:rPr>
        <w:t xml:space="preserve"> gesamtwirtschaftlichen Vorzüge der Runderneuerung gesehen werden, ist der Veränderungsprozess aus Sicht von Hinghaus-Kaul „zu behäbig“. Es sei nicht abzusehen, ob und wann „Maßnahmen wie die Erhebung von angemessenen Zöllen auf Billigreifen zum Schutz hiesiger Produkte greifen können</w:t>
      </w:r>
      <w:r w:rsidR="005E7089" w:rsidRPr="001C71E9">
        <w:rPr>
          <w:rFonts w:ascii="Arial" w:hAnsi="Arial" w:cs="Arial"/>
        </w:rPr>
        <w:t xml:space="preserve"> </w:t>
      </w:r>
      <w:r w:rsidR="00F04842" w:rsidRPr="001C71E9">
        <w:rPr>
          <w:rFonts w:ascii="Arial" w:hAnsi="Arial" w:cs="Arial"/>
        </w:rPr>
        <w:t>und kommunale Fuhrparks endlich konsequent mit runderneuerten Reifen ausgestattet werden</w:t>
      </w:r>
      <w:r w:rsidR="005E7089" w:rsidRPr="001C71E9">
        <w:rPr>
          <w:rFonts w:ascii="Arial" w:hAnsi="Arial" w:cs="Arial"/>
        </w:rPr>
        <w:t>“.</w:t>
      </w:r>
      <w:r w:rsidRPr="001C71E9">
        <w:rPr>
          <w:rFonts w:ascii="Arial" w:hAnsi="Arial" w:cs="Arial"/>
        </w:rPr>
        <w:t xml:space="preserve"> </w:t>
      </w:r>
    </w:p>
    <w:p w14:paraId="47FEF6D8" w14:textId="3D7C9E98" w:rsidR="00AD0C02" w:rsidRPr="001C71E9" w:rsidRDefault="00F04842" w:rsidP="00AD0C02">
      <w:pPr>
        <w:spacing w:after="120" w:line="271" w:lineRule="auto"/>
        <w:rPr>
          <w:rFonts w:ascii="Arial" w:hAnsi="Arial" w:cs="Arial"/>
        </w:rPr>
      </w:pPr>
      <w:r w:rsidRPr="001C71E9">
        <w:rPr>
          <w:rFonts w:ascii="Arial" w:hAnsi="Arial" w:cs="Arial"/>
        </w:rPr>
        <w:t xml:space="preserve">Die </w:t>
      </w:r>
      <w:r w:rsidR="005E19A9" w:rsidRPr="001C71E9">
        <w:rPr>
          <w:rFonts w:ascii="Arial" w:hAnsi="Arial" w:cs="Arial"/>
        </w:rPr>
        <w:t xml:space="preserve">vorläufige </w:t>
      </w:r>
      <w:r w:rsidRPr="001C71E9">
        <w:rPr>
          <w:rFonts w:ascii="Arial" w:hAnsi="Arial" w:cs="Arial"/>
        </w:rPr>
        <w:t>Insolvenz bedeutet für Mark Hinghaus-Kaul noch nicht unbedingt das Ende</w:t>
      </w:r>
      <w:r w:rsidR="00447772" w:rsidRPr="001C71E9">
        <w:rPr>
          <w:rFonts w:ascii="Arial" w:hAnsi="Arial" w:cs="Arial"/>
        </w:rPr>
        <w:t xml:space="preserve">. </w:t>
      </w:r>
      <w:r w:rsidR="00AD0C02" w:rsidRPr="001C71E9">
        <w:rPr>
          <w:rFonts w:ascii="Arial" w:hAnsi="Arial" w:cs="Arial"/>
        </w:rPr>
        <w:t>Reifen-Hinghaus strebe „ein Verfahren in Eigenverwaltung an, was uns in die Lage versetzen soll, Investoren zu finden und die Fortführung nach Umstrukturierung mit wenigstens teilweiser Übernahme des Teams zu ermöglichen“.</w:t>
      </w:r>
    </w:p>
    <w:p w14:paraId="0B67A271" w14:textId="68F1CCCD" w:rsidR="007E5EC9" w:rsidRPr="001C71E9" w:rsidRDefault="00956466" w:rsidP="00AD0C02">
      <w:pPr>
        <w:spacing w:after="120" w:line="271" w:lineRule="auto"/>
        <w:rPr>
          <w:rFonts w:ascii="Arial" w:hAnsi="Arial" w:cs="Arial"/>
        </w:rPr>
      </w:pPr>
      <w:bookmarkStart w:id="2" w:name="_Hlk165014162"/>
      <w:r w:rsidRPr="001C71E9">
        <w:rPr>
          <w:rFonts w:ascii="Arial" w:hAnsi="Arial" w:cs="Arial"/>
        </w:rPr>
        <w:t xml:space="preserve">AZuR-Netzwerk-Koordinatorin Christina Guth bedauert den </w:t>
      </w:r>
      <w:r w:rsidR="005E19A9" w:rsidRPr="001C71E9">
        <w:rPr>
          <w:rFonts w:ascii="Arial" w:hAnsi="Arial" w:cs="Arial"/>
        </w:rPr>
        <w:t xml:space="preserve">Antrag </w:t>
      </w:r>
      <w:r w:rsidRPr="001C71E9">
        <w:rPr>
          <w:rFonts w:ascii="Arial" w:hAnsi="Arial" w:cs="Arial"/>
        </w:rPr>
        <w:t>des letzten deutschen Runderneuerungsunternehmens</w:t>
      </w:r>
      <w:r w:rsidR="005E19A9" w:rsidRPr="001C71E9">
        <w:rPr>
          <w:rFonts w:ascii="Arial" w:hAnsi="Arial" w:cs="Arial"/>
        </w:rPr>
        <w:t xml:space="preserve"> für Pkw- und Llkw-Reifen</w:t>
      </w:r>
      <w:r w:rsidR="005E7089" w:rsidRPr="001C71E9">
        <w:rPr>
          <w:rFonts w:ascii="Arial" w:hAnsi="Arial" w:cs="Arial"/>
        </w:rPr>
        <w:t xml:space="preserve"> auf Insolvenz</w:t>
      </w:r>
      <w:r w:rsidRPr="001C71E9">
        <w:rPr>
          <w:rFonts w:ascii="Arial" w:hAnsi="Arial" w:cs="Arial"/>
        </w:rPr>
        <w:t xml:space="preserve">, mit dem wir „seit Gründung von AZuR engagiert und vertrauensvoll zusammengearbeitet haben, um mit der Runderneuerung auch die gesamte Reifen-Kreislaufwirtschaft voranzubringen. Doch gegen die </w:t>
      </w:r>
      <w:r w:rsidR="00447772" w:rsidRPr="001C71E9">
        <w:rPr>
          <w:rFonts w:ascii="Arial" w:hAnsi="Arial" w:cs="Arial"/>
        </w:rPr>
        <w:t xml:space="preserve">steigende </w:t>
      </w:r>
      <w:r w:rsidRPr="001C71E9">
        <w:rPr>
          <w:rFonts w:ascii="Arial" w:hAnsi="Arial" w:cs="Arial"/>
        </w:rPr>
        <w:t>Marktüberflutung aus Fernost, die schlechten wirtschaftlichen Rahmenbedingungen, hohe Energiepreise und mangelnde Unterstützung der Politik hat</w:t>
      </w:r>
      <w:r w:rsidR="005E19A9" w:rsidRPr="001C71E9">
        <w:rPr>
          <w:rFonts w:ascii="Arial" w:hAnsi="Arial" w:cs="Arial"/>
        </w:rPr>
        <w:t xml:space="preserve"> die</w:t>
      </w:r>
      <w:r w:rsidR="008C23D3" w:rsidRPr="001C71E9">
        <w:rPr>
          <w:rFonts w:ascii="Arial" w:hAnsi="Arial" w:cs="Arial"/>
        </w:rPr>
        <w:t xml:space="preserve"> Reifen</w:t>
      </w:r>
      <w:r w:rsidR="00855889" w:rsidRPr="001C71E9">
        <w:rPr>
          <w:rFonts w:ascii="Arial" w:hAnsi="Arial" w:cs="Arial"/>
        </w:rPr>
        <w:t xml:space="preserve"> </w:t>
      </w:r>
      <w:r w:rsidR="008C23D3" w:rsidRPr="001C71E9">
        <w:rPr>
          <w:rFonts w:ascii="Arial" w:hAnsi="Arial" w:cs="Arial"/>
        </w:rPr>
        <w:t xml:space="preserve">Hinghaus </w:t>
      </w:r>
      <w:r w:rsidR="005E19A9" w:rsidRPr="001C71E9">
        <w:rPr>
          <w:rFonts w:ascii="Arial" w:hAnsi="Arial" w:cs="Arial"/>
        </w:rPr>
        <w:t xml:space="preserve">GmbH </w:t>
      </w:r>
      <w:r w:rsidR="008C23D3" w:rsidRPr="001C71E9">
        <w:rPr>
          <w:rFonts w:ascii="Arial" w:hAnsi="Arial" w:cs="Arial"/>
        </w:rPr>
        <w:t>bei allem Engagement</w:t>
      </w:r>
      <w:r w:rsidRPr="001C71E9">
        <w:rPr>
          <w:rFonts w:ascii="Arial" w:hAnsi="Arial" w:cs="Arial"/>
        </w:rPr>
        <w:t xml:space="preserve"> </w:t>
      </w:r>
      <w:r w:rsidR="005E19A9" w:rsidRPr="001C71E9">
        <w:rPr>
          <w:rFonts w:ascii="Arial" w:hAnsi="Arial" w:cs="Arial"/>
        </w:rPr>
        <w:t>einen schlechten Stand</w:t>
      </w:r>
      <w:r w:rsidR="00CB5B63" w:rsidRPr="001C71E9">
        <w:rPr>
          <w:rFonts w:ascii="Arial" w:hAnsi="Arial" w:cs="Arial"/>
        </w:rPr>
        <w:t>“</w:t>
      </w:r>
      <w:r w:rsidRPr="001C71E9">
        <w:rPr>
          <w:rFonts w:ascii="Arial" w:hAnsi="Arial" w:cs="Arial"/>
        </w:rPr>
        <w:t xml:space="preserve">. </w:t>
      </w:r>
    </w:p>
    <w:p w14:paraId="2660FCD6" w14:textId="7467C863" w:rsidR="00D0689D" w:rsidRPr="001C71E9" w:rsidRDefault="00D0689D" w:rsidP="00D0689D">
      <w:pPr>
        <w:spacing w:after="120" w:line="271" w:lineRule="auto"/>
        <w:rPr>
          <w:rFonts w:ascii="Arial" w:hAnsi="Arial" w:cs="Arial"/>
          <w:b/>
          <w:color w:val="000000" w:themeColor="text1"/>
          <w:lang w:eastAsia="de-DE"/>
        </w:rPr>
      </w:pPr>
      <w:r w:rsidRPr="001C71E9">
        <w:rPr>
          <w:rFonts w:ascii="Arial" w:hAnsi="Arial" w:cs="Arial"/>
          <w:b/>
          <w:color w:val="000000" w:themeColor="text1"/>
          <w:lang w:eastAsia="de-DE"/>
        </w:rPr>
        <w:t xml:space="preserve">Die Runderneuerung kann in Deutschland und Europa eine Zukunft haben   </w:t>
      </w:r>
    </w:p>
    <w:p w14:paraId="4065C8C6" w14:textId="0B12846A" w:rsidR="005A45B8" w:rsidRPr="001C71E9" w:rsidRDefault="007E5EC9" w:rsidP="005A45B8">
      <w:pPr>
        <w:spacing w:after="120" w:line="271" w:lineRule="auto"/>
        <w:rPr>
          <w:rFonts w:ascii="Arial" w:hAnsi="Arial" w:cs="Arial"/>
        </w:rPr>
      </w:pPr>
      <w:bookmarkStart w:id="3" w:name="_Hlk165017701"/>
      <w:r w:rsidRPr="001C71E9">
        <w:rPr>
          <w:rFonts w:ascii="Arial" w:hAnsi="Arial" w:cs="Arial"/>
        </w:rPr>
        <w:t xml:space="preserve">Dennoch </w:t>
      </w:r>
      <w:r w:rsidR="00946376" w:rsidRPr="001C71E9">
        <w:rPr>
          <w:rFonts w:ascii="Arial" w:hAnsi="Arial" w:cs="Arial"/>
        </w:rPr>
        <w:t>ist</w:t>
      </w:r>
      <w:r w:rsidRPr="001C71E9">
        <w:rPr>
          <w:rFonts w:ascii="Arial" w:hAnsi="Arial" w:cs="Arial"/>
        </w:rPr>
        <w:t xml:space="preserve"> Guth</w:t>
      </w:r>
      <w:r w:rsidR="00946376" w:rsidRPr="001C71E9">
        <w:rPr>
          <w:rFonts w:ascii="Arial" w:hAnsi="Arial" w:cs="Arial"/>
        </w:rPr>
        <w:t xml:space="preserve"> davon überzeugt, dass die Runderneuerung in Deutschland und Europa eine Zukunft </w:t>
      </w:r>
      <w:r w:rsidR="00D0689D" w:rsidRPr="001C71E9">
        <w:rPr>
          <w:rFonts w:ascii="Arial" w:hAnsi="Arial" w:cs="Arial"/>
        </w:rPr>
        <w:t>haben kann</w:t>
      </w:r>
      <w:r w:rsidR="008E74FD" w:rsidRPr="001C71E9">
        <w:rPr>
          <w:rFonts w:ascii="Arial" w:hAnsi="Arial" w:cs="Arial"/>
        </w:rPr>
        <w:t>, wenn alle Marktakteure an einem Strang ziehen und das Projekt unterstützen</w:t>
      </w:r>
      <w:r w:rsidR="005A45B8" w:rsidRPr="001C71E9">
        <w:rPr>
          <w:rFonts w:ascii="Arial" w:hAnsi="Arial" w:cs="Arial"/>
        </w:rPr>
        <w:t xml:space="preserve">: „Die Runderneuerung von Reifen ist ein Paradebeispiel für die gelungene Umsetzung einer nachhaltigen Kreislaufwirtschaft, die maßgeblich zur notwendigen Transformation des europäischen Verkehrswesens und zur Erreichung der Ziele des Green Deal beitragen kann“. Aktuell gibt es in Deutschland immerhin rund 50 Betriebe, die runderneuerte Markenreifen für Lkw, Transporter, Bagger, Traktoren und Nutzfahrzeuge aller Art herstellen. </w:t>
      </w:r>
    </w:p>
    <w:bookmarkEnd w:id="3"/>
    <w:p w14:paraId="526D1004" w14:textId="3EF10AAA" w:rsidR="005A45B8" w:rsidRPr="001C71E9" w:rsidRDefault="005A45B8" w:rsidP="005A45B8">
      <w:pPr>
        <w:spacing w:after="120" w:line="271" w:lineRule="auto"/>
        <w:rPr>
          <w:rFonts w:ascii="Arial" w:hAnsi="Arial" w:cs="Arial"/>
        </w:rPr>
      </w:pPr>
      <w:r w:rsidRPr="001C71E9">
        <w:rPr>
          <w:rFonts w:ascii="Arial" w:hAnsi="Arial" w:cs="Arial"/>
        </w:rPr>
        <w:t xml:space="preserve">Auch die politischen Rahmenbedingungen haben sich in den letzten Monaten zugunsten der Runderneuerung </w:t>
      </w:r>
      <w:r w:rsidR="00305C5D" w:rsidRPr="001C71E9">
        <w:rPr>
          <w:rFonts w:ascii="Arial" w:hAnsi="Arial" w:cs="Arial"/>
        </w:rPr>
        <w:t xml:space="preserve">verbessert. </w:t>
      </w:r>
      <w:r w:rsidRPr="001C71E9">
        <w:rPr>
          <w:rFonts w:ascii="Arial" w:hAnsi="Arial" w:cs="Arial"/>
        </w:rPr>
        <w:t xml:space="preserve">Die aktuellen EU-Kriterien für die umweltorientierte öffentliche Beschaffung im Bereich Straßenverkehr führen runderneuerte Reifen seit Juni 2023 auch für Pkw, leichte Nutzfahrzeuge und ihre Anhänger an. Das ermöglicht Behörden, Kommunen und öffentlichen Betrieben die rechtssichere Ausstattung sämtlicher Fahrzeuge mit runderneuerten Reifen. </w:t>
      </w:r>
    </w:p>
    <w:p w14:paraId="2EC35DFE" w14:textId="09529AE8" w:rsidR="005A45B8" w:rsidRPr="001C71E9" w:rsidRDefault="005A45B8" w:rsidP="005A45B8">
      <w:pPr>
        <w:spacing w:after="120" w:line="271" w:lineRule="auto"/>
        <w:rPr>
          <w:rFonts w:ascii="Arial" w:hAnsi="Arial" w:cs="Arial"/>
        </w:rPr>
      </w:pPr>
      <w:r w:rsidRPr="001C71E9">
        <w:rPr>
          <w:rFonts w:ascii="Arial" w:hAnsi="Arial" w:cs="Arial"/>
        </w:rPr>
        <w:t xml:space="preserve">Da Bundesbehörden nach § 45 des Kreislaufwirtschaftsgesetzes (KrWG) </w:t>
      </w:r>
      <w:r w:rsidR="00305C5D" w:rsidRPr="001C71E9">
        <w:rPr>
          <w:rFonts w:ascii="Arial" w:hAnsi="Arial" w:cs="Arial"/>
        </w:rPr>
        <w:t>zudem</w:t>
      </w:r>
      <w:r w:rsidRPr="001C71E9">
        <w:rPr>
          <w:rFonts w:ascii="Arial" w:hAnsi="Arial" w:cs="Arial"/>
        </w:rPr>
        <w:t xml:space="preserve"> verpflichtet sind, bei der Beschaffung Produkte zu bevorzugen, die rohstoffschonend, energiesparend, abfallarm, reparierbar, schadstoffarm oder recyclingfähig sind, müssten aus Sicht der AZuR-Netzwerk-Koordinatorin „alle Fahrzeuge der öffentlichen Hand sukzessive mit runderneuerten Reifen ausgestattet werden“.   </w:t>
      </w:r>
    </w:p>
    <w:p w14:paraId="1745E2AA" w14:textId="0D0B6B2E" w:rsidR="00D0689D" w:rsidRPr="001C71E9" w:rsidRDefault="00D0689D" w:rsidP="00D0689D">
      <w:pPr>
        <w:spacing w:after="120" w:line="271" w:lineRule="auto"/>
        <w:rPr>
          <w:rFonts w:ascii="Arial" w:hAnsi="Arial" w:cs="Arial"/>
          <w:b/>
          <w:color w:val="000000" w:themeColor="text1"/>
          <w:lang w:eastAsia="de-DE"/>
        </w:rPr>
      </w:pPr>
      <w:r w:rsidRPr="001C71E9">
        <w:rPr>
          <w:rFonts w:ascii="Arial" w:hAnsi="Arial" w:cs="Arial"/>
          <w:b/>
          <w:color w:val="000000" w:themeColor="text1"/>
          <w:lang w:eastAsia="de-DE"/>
        </w:rPr>
        <w:t xml:space="preserve">Sofortiges Handeln der Politik kann den Green Deal noch retten   </w:t>
      </w:r>
    </w:p>
    <w:p w14:paraId="233EE3D4" w14:textId="587E8095" w:rsidR="007E5EC9" w:rsidRPr="001C71E9" w:rsidRDefault="00305C5D" w:rsidP="00D0689D">
      <w:pPr>
        <w:rPr>
          <w:rFonts w:ascii="Arial" w:hAnsi="Arial" w:cs="Arial"/>
        </w:rPr>
      </w:pPr>
      <w:r w:rsidRPr="001C71E9">
        <w:rPr>
          <w:rFonts w:ascii="Arial" w:hAnsi="Arial" w:cs="Arial"/>
        </w:rPr>
        <w:lastRenderedPageBreak/>
        <w:t xml:space="preserve">Dennoch bedarf es aus Sicht von </w:t>
      </w:r>
      <w:r w:rsidR="00D0689D" w:rsidRPr="001C71E9">
        <w:rPr>
          <w:rFonts w:ascii="Arial" w:hAnsi="Arial" w:cs="Arial"/>
        </w:rPr>
        <w:t xml:space="preserve">Christina </w:t>
      </w:r>
      <w:r w:rsidRPr="001C71E9">
        <w:rPr>
          <w:rFonts w:ascii="Arial" w:hAnsi="Arial" w:cs="Arial"/>
        </w:rPr>
        <w:t>Guth weiterer Gesetzesänderungen, um die Zukunft der Runderneuerung zu sichern. Die Aufnahme runderneuerter Reifen in die Reifenkennzeichnungs</w:t>
      </w:r>
      <w:r w:rsidRPr="001C71E9">
        <w:rPr>
          <w:rFonts w:ascii="Arial" w:hAnsi="Arial" w:cs="Arial"/>
        </w:rPr>
        <w:softHyphen/>
        <w:t xml:space="preserve">verordnung steht beispielsweise ebenso noch aus wie eine Richtlinie für migrations- und emissionsbasierte Messverfahren und Vorschriften wie die ECE117 für runderneuerte Reifen. </w:t>
      </w:r>
      <w:r w:rsidRPr="001C71E9">
        <w:rPr>
          <w:rFonts w:ascii="Arial" w:hAnsi="Arial" w:cs="Arial"/>
        </w:rPr>
        <w:br/>
        <w:t>Wenn die EU hier nicht bald handelt, und die Zielkonflikte zwischen Kreislaufwirtschaft und Chemikalienrecht bereinigt, droht das aus für die Runderneuerung und den Green Deal</w:t>
      </w:r>
      <w:r w:rsidR="00D0689D" w:rsidRPr="001C71E9">
        <w:rPr>
          <w:rFonts w:ascii="Arial" w:hAnsi="Arial" w:cs="Arial"/>
        </w:rPr>
        <w:t xml:space="preserve">, fasst die AZuR-Netzwerk-Koordinatorin zusammen. </w:t>
      </w:r>
      <w:r w:rsidRPr="001C71E9">
        <w:rPr>
          <w:rFonts w:ascii="Arial" w:hAnsi="Arial" w:cs="Arial"/>
        </w:rPr>
        <w:t xml:space="preserve">    </w:t>
      </w:r>
      <w:bookmarkEnd w:id="2"/>
    </w:p>
    <w:p w14:paraId="2A57FEBB" w14:textId="3FEDDCDD" w:rsidR="00D72F89" w:rsidRPr="001C71E9" w:rsidRDefault="00D72F89" w:rsidP="00D72F89">
      <w:pPr>
        <w:spacing w:after="120" w:line="271" w:lineRule="auto"/>
        <w:rPr>
          <w:rFonts w:ascii="Arial" w:hAnsi="Arial" w:cs="Arial"/>
          <w:b/>
          <w:color w:val="000000" w:themeColor="text1"/>
          <w:lang w:eastAsia="de-DE"/>
        </w:rPr>
      </w:pPr>
      <w:r w:rsidRPr="001C71E9">
        <w:rPr>
          <w:rFonts w:ascii="Arial" w:hAnsi="Arial" w:cs="Arial"/>
          <w:b/>
          <w:color w:val="000000" w:themeColor="text1"/>
          <w:lang w:eastAsia="de-DE"/>
        </w:rPr>
        <w:t xml:space="preserve">AZuR-Resolution soll Zukunft </w:t>
      </w:r>
      <w:r w:rsidR="008C23D3" w:rsidRPr="001C71E9">
        <w:rPr>
          <w:rFonts w:ascii="Arial" w:hAnsi="Arial" w:cs="Arial"/>
          <w:b/>
          <w:color w:val="000000" w:themeColor="text1"/>
          <w:lang w:eastAsia="de-DE"/>
        </w:rPr>
        <w:t>von Runderneuerung und</w:t>
      </w:r>
      <w:r w:rsidRPr="001C71E9">
        <w:rPr>
          <w:rFonts w:ascii="Arial" w:hAnsi="Arial" w:cs="Arial"/>
          <w:b/>
          <w:color w:val="000000" w:themeColor="text1"/>
          <w:lang w:eastAsia="de-DE"/>
        </w:rPr>
        <w:t xml:space="preserve"> Reifenverwertung sichern </w:t>
      </w:r>
    </w:p>
    <w:p w14:paraId="6EB49650" w14:textId="6B369707" w:rsidR="00CB5B63" w:rsidRPr="001C71E9" w:rsidRDefault="00D0689D" w:rsidP="008A4BAE">
      <w:pPr>
        <w:spacing w:after="120" w:line="271" w:lineRule="auto"/>
        <w:rPr>
          <w:rFonts w:ascii="Arial" w:hAnsi="Arial" w:cs="Arial"/>
          <w:bCs/>
          <w:color w:val="000000" w:themeColor="text1"/>
          <w:lang w:eastAsia="de-DE"/>
        </w:rPr>
      </w:pPr>
      <w:r w:rsidRPr="001C71E9">
        <w:rPr>
          <w:rFonts w:ascii="Arial" w:hAnsi="Arial" w:cs="Arial"/>
          <w:bCs/>
          <w:color w:val="000000" w:themeColor="text1"/>
          <w:lang w:eastAsia="de-DE"/>
        </w:rPr>
        <w:t>Da a</w:t>
      </w:r>
      <w:r w:rsidR="00885478" w:rsidRPr="001C71E9">
        <w:rPr>
          <w:rFonts w:ascii="Arial" w:hAnsi="Arial" w:cs="Arial"/>
          <w:bCs/>
          <w:color w:val="000000" w:themeColor="text1"/>
          <w:lang w:eastAsia="de-DE"/>
        </w:rPr>
        <w:t xml:space="preserve">uf europäischer Ebene dringend </w:t>
      </w:r>
      <w:r w:rsidRPr="001C71E9">
        <w:rPr>
          <w:rFonts w:ascii="Arial" w:hAnsi="Arial" w:cs="Arial"/>
          <w:bCs/>
          <w:color w:val="000000" w:themeColor="text1"/>
          <w:lang w:eastAsia="de-DE"/>
        </w:rPr>
        <w:t>gesetzliche</w:t>
      </w:r>
      <w:r w:rsidR="00885478" w:rsidRPr="001C71E9">
        <w:rPr>
          <w:rFonts w:ascii="Arial" w:hAnsi="Arial" w:cs="Arial"/>
          <w:bCs/>
          <w:color w:val="000000" w:themeColor="text1"/>
          <w:lang w:eastAsia="de-DE"/>
        </w:rPr>
        <w:t xml:space="preserve"> Regelungen getroffen werden</w:t>
      </w:r>
      <w:r w:rsidRPr="001C71E9">
        <w:rPr>
          <w:rFonts w:ascii="Arial" w:hAnsi="Arial" w:cs="Arial"/>
          <w:bCs/>
          <w:color w:val="000000" w:themeColor="text1"/>
          <w:lang w:eastAsia="de-DE"/>
        </w:rPr>
        <w:t xml:space="preserve"> müssen</w:t>
      </w:r>
      <w:r w:rsidR="00885478" w:rsidRPr="001C71E9">
        <w:rPr>
          <w:rFonts w:ascii="Arial" w:hAnsi="Arial" w:cs="Arial"/>
          <w:bCs/>
          <w:color w:val="000000" w:themeColor="text1"/>
          <w:lang w:eastAsia="de-DE"/>
        </w:rPr>
        <w:t>, um den nachhaltigen Umgang mit Altreifen im Sinne einer Circular Economy sicherzustellen</w:t>
      </w:r>
      <w:r w:rsidRPr="001C71E9">
        <w:rPr>
          <w:rFonts w:ascii="Arial" w:hAnsi="Arial" w:cs="Arial"/>
          <w:bCs/>
          <w:color w:val="000000" w:themeColor="text1"/>
          <w:lang w:eastAsia="de-DE"/>
        </w:rPr>
        <w:t>,</w:t>
      </w:r>
      <w:r w:rsidR="00885478" w:rsidRPr="001C71E9">
        <w:rPr>
          <w:rFonts w:ascii="Arial" w:hAnsi="Arial" w:cs="Arial"/>
          <w:bCs/>
          <w:color w:val="000000" w:themeColor="text1"/>
          <w:lang w:eastAsia="de-DE"/>
        </w:rPr>
        <w:t xml:space="preserve"> hat AZuR eine Altreifen-Resolution an die EU vorbereitet</w:t>
      </w:r>
      <w:r w:rsidRPr="001C71E9">
        <w:rPr>
          <w:rFonts w:ascii="Arial" w:hAnsi="Arial" w:cs="Arial"/>
          <w:bCs/>
          <w:color w:val="000000" w:themeColor="text1"/>
          <w:lang w:eastAsia="de-DE"/>
        </w:rPr>
        <w:t>.</w:t>
      </w:r>
      <w:r w:rsidR="00885478" w:rsidRPr="001C71E9">
        <w:rPr>
          <w:rFonts w:ascii="Arial" w:hAnsi="Arial" w:cs="Arial"/>
          <w:bCs/>
          <w:color w:val="000000" w:themeColor="text1"/>
          <w:lang w:eastAsia="de-DE"/>
        </w:rPr>
        <w:t xml:space="preserve"> </w:t>
      </w:r>
      <w:r w:rsidRPr="001C71E9">
        <w:rPr>
          <w:rFonts w:ascii="Arial" w:hAnsi="Arial" w:cs="Arial"/>
          <w:bCs/>
          <w:color w:val="000000" w:themeColor="text1"/>
          <w:lang w:eastAsia="de-DE"/>
        </w:rPr>
        <w:t>Diese soll</w:t>
      </w:r>
      <w:r w:rsidR="00885478" w:rsidRPr="001C71E9">
        <w:rPr>
          <w:rFonts w:ascii="Arial" w:hAnsi="Arial" w:cs="Arial"/>
          <w:bCs/>
          <w:color w:val="000000" w:themeColor="text1"/>
          <w:lang w:eastAsia="de-DE"/>
        </w:rPr>
        <w:t xml:space="preserve"> nicht nur von den AZuR-Partnern, sondern auch von auf Nachhaltigkeit bedachten Unternehmen, Verbänden und NGOs unterstützt werden: „Reifen sind ein unersetzbares Produkt für unsere Mobilität und ein wertvoller Rohstoff, der im Wertstoff-Kreislauf gehalten werden muss. Alle in der EU eingesetzten Reifen müssen in der EU wiederverwertet bzw. recycelt werden. Neureifen müssen möglichst nachhaltig hergestellt – Altreifen soweit wie irgend möglich durch Runderneuerung, stoffliche oder chemische Verwertung im Wertstoff-Kreislauf gehalten werden. Die Basis unseres wirtschaftlichen Handels muss stets die Wertstoff-Pyramide sein.“ </w:t>
      </w:r>
      <w:r w:rsidR="007158DC" w:rsidRPr="001C71E9">
        <w:rPr>
          <w:rFonts w:ascii="Arial" w:hAnsi="Arial" w:cs="Arial"/>
          <w:bCs/>
          <w:color w:val="000000" w:themeColor="text1"/>
          <w:lang w:eastAsia="de-DE"/>
        </w:rPr>
        <w:t>Die</w:t>
      </w:r>
      <w:r w:rsidR="00D72F89" w:rsidRPr="001C71E9">
        <w:rPr>
          <w:rFonts w:ascii="Arial" w:hAnsi="Arial" w:cs="Arial"/>
          <w:bCs/>
          <w:color w:val="000000" w:themeColor="text1"/>
          <w:lang w:eastAsia="de-DE"/>
        </w:rPr>
        <w:t xml:space="preserve"> Resolution</w:t>
      </w:r>
      <w:r w:rsidR="007158DC" w:rsidRPr="001C71E9">
        <w:rPr>
          <w:rFonts w:ascii="Arial" w:hAnsi="Arial" w:cs="Arial"/>
          <w:bCs/>
          <w:color w:val="000000" w:themeColor="text1"/>
          <w:lang w:eastAsia="de-DE"/>
        </w:rPr>
        <w:t xml:space="preserve"> soll</w:t>
      </w:r>
      <w:r w:rsidR="00D72F89" w:rsidRPr="001C71E9">
        <w:rPr>
          <w:rFonts w:ascii="Arial" w:hAnsi="Arial" w:cs="Arial"/>
          <w:bCs/>
          <w:color w:val="000000" w:themeColor="text1"/>
          <w:lang w:eastAsia="de-DE"/>
        </w:rPr>
        <w:t xml:space="preserve"> </w:t>
      </w:r>
      <w:r w:rsidR="00885478" w:rsidRPr="001C71E9">
        <w:rPr>
          <w:rFonts w:ascii="Arial" w:hAnsi="Arial" w:cs="Arial"/>
          <w:bCs/>
          <w:color w:val="000000" w:themeColor="text1"/>
          <w:lang w:eastAsia="de-DE"/>
        </w:rPr>
        <w:t xml:space="preserve">am 4. Juni 2024 auf der THE TIRE COLOGNE offiziell unterzeichnet </w:t>
      </w:r>
      <w:r w:rsidR="007158DC" w:rsidRPr="001C71E9">
        <w:rPr>
          <w:rFonts w:ascii="Arial" w:hAnsi="Arial" w:cs="Arial"/>
          <w:bCs/>
          <w:color w:val="000000" w:themeColor="text1"/>
          <w:lang w:eastAsia="de-DE"/>
        </w:rPr>
        <w:t>werden</w:t>
      </w:r>
      <w:r w:rsidR="00D72F89" w:rsidRPr="001C71E9">
        <w:rPr>
          <w:rFonts w:ascii="Arial" w:hAnsi="Arial" w:cs="Arial"/>
          <w:bCs/>
          <w:color w:val="000000" w:themeColor="text1"/>
          <w:lang w:eastAsia="de-DE"/>
        </w:rPr>
        <w:t xml:space="preserve">: </w:t>
      </w:r>
      <w:hyperlink r:id="rId8" w:history="1">
        <w:r w:rsidR="00D72F89" w:rsidRPr="001C71E9">
          <w:rPr>
            <w:rStyle w:val="Hyperlink"/>
            <w:rFonts w:ascii="Arial" w:hAnsi="Arial" w:cs="Arial"/>
            <w:bCs/>
            <w:lang w:eastAsia="de-DE"/>
          </w:rPr>
          <w:t>https://azur-netzwerk.de/kraefte-buendeln-eine-altreifen-resolution-fuer-die-eu/</w:t>
        </w:r>
      </w:hyperlink>
      <w:bookmarkEnd w:id="1"/>
    </w:p>
    <w:p w14:paraId="6E53616A" w14:textId="1983C1F5" w:rsidR="003C4015" w:rsidRPr="001C71E9" w:rsidRDefault="003C4015" w:rsidP="008A4BAE">
      <w:pPr>
        <w:spacing w:after="120" w:line="271" w:lineRule="auto"/>
        <w:rPr>
          <w:rFonts w:ascii="Arial" w:hAnsi="Arial" w:cs="Arial"/>
          <w:color w:val="000000" w:themeColor="text1"/>
        </w:rPr>
      </w:pPr>
      <w:r w:rsidRPr="001C71E9">
        <w:rPr>
          <w:rFonts w:ascii="Arial" w:hAnsi="Arial" w:cs="Arial"/>
          <w:b/>
          <w:color w:val="000000" w:themeColor="text1"/>
        </w:rPr>
        <w:t xml:space="preserve">Über </w:t>
      </w:r>
      <w:r w:rsidR="00B937CE" w:rsidRPr="001C71E9">
        <w:rPr>
          <w:rFonts w:ascii="Arial" w:hAnsi="Arial" w:cs="Arial"/>
          <w:b/>
          <w:color w:val="000000" w:themeColor="text1"/>
        </w:rPr>
        <w:t xml:space="preserve">die </w:t>
      </w:r>
      <w:r w:rsidRPr="001C71E9">
        <w:rPr>
          <w:rFonts w:ascii="Arial" w:hAnsi="Arial" w:cs="Arial"/>
          <w:b/>
          <w:color w:val="000000" w:themeColor="text1"/>
        </w:rPr>
        <w:t>Allianz Zukunft Reifen</w:t>
      </w:r>
      <w:r w:rsidR="00B937CE" w:rsidRPr="001C71E9">
        <w:rPr>
          <w:rFonts w:ascii="Arial" w:hAnsi="Arial" w:cs="Arial"/>
          <w:b/>
          <w:color w:val="000000" w:themeColor="text1"/>
        </w:rPr>
        <w:t xml:space="preserve"> (AZuR)</w:t>
      </w:r>
    </w:p>
    <w:p w14:paraId="7BE27141" w14:textId="77777777" w:rsidR="009F0846" w:rsidRPr="001C71E9" w:rsidRDefault="009F0846" w:rsidP="009F0846">
      <w:pPr>
        <w:spacing w:after="60" w:line="268" w:lineRule="auto"/>
        <w:rPr>
          <w:rFonts w:ascii="Arial" w:hAnsi="Arial" w:cs="Arial"/>
          <w:color w:val="000000" w:themeColor="text1"/>
        </w:rPr>
      </w:pPr>
      <w:r w:rsidRPr="001C71E9">
        <w:rPr>
          <w:rFonts w:ascii="Arial" w:hAnsi="Arial" w:cs="Arial"/>
          <w:color w:val="000000" w:themeColor="text1"/>
        </w:rPr>
        <w:t>AZuR engagiert sich seit dem Jahr 2020 europaweit für eine nachhaltige Reifen-Kreislaufwirtschaft. Gebrauchte Reifen sollen möglichst zu 100 Prozent wiederverwendet oder verwertet werden, um Abfälle zu vermeiden, CO</w:t>
      </w:r>
      <w:r w:rsidRPr="001C71E9">
        <w:rPr>
          <w:rFonts w:ascii="Arial" w:hAnsi="Arial" w:cs="Arial"/>
          <w:color w:val="000000" w:themeColor="text1"/>
          <w:vertAlign w:val="subscript"/>
        </w:rPr>
        <w:t>2</w:t>
      </w:r>
      <w:r w:rsidRPr="001C71E9">
        <w:rPr>
          <w:rFonts w:ascii="Arial" w:hAnsi="Arial" w:cs="Arial"/>
          <w:color w:val="000000" w:themeColor="text1"/>
        </w:rPr>
        <w:t xml:space="preserve">-Emissionen zu senken, natürliche Ressourcen zu schonen und Mensch wie Umwelt zu schützen. </w:t>
      </w:r>
    </w:p>
    <w:p w14:paraId="391FD5E8" w14:textId="47EC945D" w:rsidR="009F0846" w:rsidRPr="001C71E9" w:rsidRDefault="000E47D0" w:rsidP="009F0846">
      <w:pPr>
        <w:spacing w:after="60" w:line="268" w:lineRule="auto"/>
        <w:rPr>
          <w:rFonts w:ascii="Arial" w:hAnsi="Arial" w:cs="Arial"/>
          <w:color w:val="000000" w:themeColor="text1"/>
        </w:rPr>
      </w:pPr>
      <w:r w:rsidRPr="001C71E9">
        <w:rPr>
          <w:rFonts w:ascii="Arial" w:hAnsi="Arial" w:cs="Arial"/>
          <w:color w:val="000000" w:themeColor="text1"/>
        </w:rPr>
        <w:t xml:space="preserve">Über </w:t>
      </w:r>
      <w:r w:rsidR="00124823" w:rsidRPr="001C71E9">
        <w:rPr>
          <w:rFonts w:ascii="Arial" w:hAnsi="Arial" w:cs="Arial"/>
          <w:color w:val="000000" w:themeColor="text1"/>
        </w:rPr>
        <w:t>7</w:t>
      </w:r>
      <w:r w:rsidRPr="001C71E9">
        <w:rPr>
          <w:rFonts w:ascii="Arial" w:hAnsi="Arial" w:cs="Arial"/>
          <w:color w:val="000000" w:themeColor="text1"/>
        </w:rPr>
        <w:t>0</w:t>
      </w:r>
      <w:r w:rsidR="009F0846" w:rsidRPr="001C71E9">
        <w:rPr>
          <w:rFonts w:ascii="Arial" w:hAnsi="Arial" w:cs="Arial"/>
          <w:color w:val="000000" w:themeColor="text1"/>
        </w:rPr>
        <w:t xml:space="preserve">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155DF289" w14:textId="77777777" w:rsidR="009F0846" w:rsidRPr="001C71E9" w:rsidRDefault="009F0846" w:rsidP="009F0846">
      <w:pPr>
        <w:spacing w:after="60" w:line="268" w:lineRule="auto"/>
        <w:rPr>
          <w:rFonts w:ascii="Arial" w:hAnsi="Arial" w:cs="Arial"/>
          <w:color w:val="000000" w:themeColor="text1"/>
        </w:rPr>
      </w:pPr>
      <w:r w:rsidRPr="001C71E9">
        <w:rPr>
          <w:rFonts w:ascii="Arial" w:hAnsi="Arial" w:cs="Arial"/>
          <w:color w:val="000000" w:themeColor="text1"/>
        </w:rPr>
        <w:t>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w:t>
      </w:r>
    </w:p>
    <w:p w14:paraId="2ED6980F" w14:textId="3ED76163" w:rsidR="00D04200" w:rsidRPr="001C71E9" w:rsidRDefault="00857284" w:rsidP="004E24A2">
      <w:pPr>
        <w:spacing w:after="60" w:line="268" w:lineRule="auto"/>
        <w:rPr>
          <w:rFonts w:ascii="Arial" w:hAnsi="Arial" w:cs="Arial"/>
          <w:color w:val="000000" w:themeColor="text1"/>
        </w:rPr>
      </w:pPr>
      <w:r w:rsidRPr="001C71E9">
        <w:rPr>
          <w:rFonts w:ascii="Arial" w:hAnsi="Arial" w:cs="Arial"/>
          <w:color w:val="000000" w:themeColor="text1"/>
        </w:rPr>
        <w:lastRenderedPageBreak/>
        <w:t>Auf der TyreXpo Asia 2023 in Singapur wurde die AZuR mit dem Recircle Award in der Kategorie Circular Economy ausgezeichnet. Im November 2023 erhielt AZuR für die Studie zur positiven Ökobilanz der Runderneuerung den „Europäischen Transportpreis für Nachhaltigkeit 2024“.</w:t>
      </w:r>
      <w:r w:rsidR="005D6ADD" w:rsidRPr="001C71E9">
        <w:rPr>
          <w:rFonts w:ascii="Arial" w:hAnsi="Arial" w:cs="Arial"/>
          <w:color w:val="000000" w:themeColor="text1"/>
        </w:rPr>
        <w:t xml:space="preserve"> </w:t>
      </w:r>
    </w:p>
    <w:p w14:paraId="6C19D5DF" w14:textId="45C31E5F" w:rsidR="00FB78D8" w:rsidRPr="001C71E9" w:rsidRDefault="009F0846" w:rsidP="005E7089">
      <w:pPr>
        <w:spacing w:after="60" w:line="268" w:lineRule="auto"/>
        <w:rPr>
          <w:rFonts w:ascii="Arial" w:hAnsi="Arial" w:cs="Arial"/>
          <w:color w:val="000000" w:themeColor="text1"/>
          <w:u w:val="single"/>
        </w:rPr>
      </w:pPr>
      <w:r w:rsidRPr="001C71E9">
        <w:rPr>
          <w:rFonts w:ascii="Arial" w:hAnsi="Arial" w:cs="Arial"/>
          <w:color w:val="000000" w:themeColor="text1"/>
        </w:rPr>
        <w:t xml:space="preserve">Mehr über AZuR erfahren Sie hier: </w:t>
      </w:r>
      <w:hyperlink r:id="rId9" w:history="1">
        <w:r w:rsidRPr="001C71E9">
          <w:rPr>
            <w:rStyle w:val="Hyperlink"/>
            <w:rFonts w:ascii="Arial" w:hAnsi="Arial" w:cs="Arial"/>
            <w:color w:val="000000" w:themeColor="text1"/>
          </w:rPr>
          <w:t>https://azur-netzwerk.de.</w:t>
        </w:r>
      </w:hyperlink>
    </w:p>
    <w:p w14:paraId="5F4EC4F3" w14:textId="77777777" w:rsidR="00C27EFC" w:rsidRPr="001C71E9" w:rsidRDefault="00C27EFC" w:rsidP="003C4015">
      <w:pPr>
        <w:rPr>
          <w:rFonts w:ascii="Arial" w:hAnsi="Arial" w:cs="Arial"/>
          <w:b/>
          <w:color w:val="000000" w:themeColor="text1"/>
        </w:rPr>
      </w:pPr>
    </w:p>
    <w:p w14:paraId="115DF2DE" w14:textId="2674DB9D" w:rsidR="003C4015" w:rsidRPr="001C71E9" w:rsidRDefault="003C4015" w:rsidP="003C4015">
      <w:pPr>
        <w:rPr>
          <w:rFonts w:ascii="Arial" w:hAnsi="Arial" w:cs="Arial"/>
          <w:b/>
          <w:color w:val="000000" w:themeColor="text1"/>
        </w:rPr>
      </w:pPr>
      <w:r w:rsidRPr="001C71E9">
        <w:rPr>
          <w:rFonts w:ascii="Arial" w:hAnsi="Arial" w:cs="Arial"/>
          <w:b/>
          <w:color w:val="000000" w:themeColor="text1"/>
        </w:rPr>
        <w:t>Pressekontakt:</w:t>
      </w:r>
    </w:p>
    <w:p w14:paraId="778D9E4C" w14:textId="4A7ED5DE" w:rsidR="00144F0C" w:rsidRPr="001C71E9" w:rsidRDefault="003C4015" w:rsidP="004E24A2">
      <w:pPr>
        <w:rPr>
          <w:rStyle w:val="Hyperlink"/>
          <w:rFonts w:ascii="Arial" w:hAnsi="Arial" w:cs="Arial"/>
          <w:color w:val="000000" w:themeColor="text1"/>
          <w:sz w:val="21"/>
          <w:szCs w:val="21"/>
        </w:rPr>
      </w:pPr>
      <w:r w:rsidRPr="001C71E9">
        <w:rPr>
          <w:rFonts w:ascii="Arial" w:hAnsi="Arial" w:cs="Arial"/>
          <w:color w:val="000000" w:themeColor="text1"/>
          <w:sz w:val="21"/>
          <w:szCs w:val="21"/>
        </w:rPr>
        <w:t>AZuR-Netzwerk</w:t>
      </w:r>
      <w:r w:rsidR="004025B0" w:rsidRPr="001C71E9">
        <w:rPr>
          <w:rFonts w:ascii="Arial" w:hAnsi="Arial" w:cs="Arial"/>
          <w:color w:val="000000" w:themeColor="text1"/>
          <w:sz w:val="21"/>
          <w:szCs w:val="21"/>
        </w:rPr>
        <w:br/>
        <w:t xml:space="preserve">c/o </w:t>
      </w:r>
      <w:r w:rsidRPr="001C71E9">
        <w:rPr>
          <w:rFonts w:ascii="Arial" w:hAnsi="Arial" w:cs="Arial"/>
          <w:color w:val="000000" w:themeColor="text1"/>
          <w:sz w:val="21"/>
          <w:szCs w:val="21"/>
        </w:rPr>
        <w:t>CGW GmbH</w:t>
      </w:r>
      <w:r w:rsidRPr="001C71E9">
        <w:rPr>
          <w:rFonts w:ascii="Arial" w:hAnsi="Arial" w:cs="Arial"/>
          <w:color w:val="000000" w:themeColor="text1"/>
          <w:sz w:val="21"/>
          <w:szCs w:val="21"/>
        </w:rPr>
        <w:br/>
        <w:t>Christina Guth</w:t>
      </w:r>
      <w:r w:rsidRPr="001C71E9">
        <w:rPr>
          <w:rFonts w:ascii="Arial" w:hAnsi="Arial" w:cs="Arial"/>
          <w:color w:val="000000" w:themeColor="text1"/>
          <w:sz w:val="21"/>
          <w:szCs w:val="21"/>
        </w:rPr>
        <w:br/>
      </w:r>
      <w:hyperlink r:id="rId10" w:history="1">
        <w:r w:rsidRPr="001C71E9">
          <w:rPr>
            <w:rStyle w:val="Hyperlink"/>
            <w:rFonts w:ascii="Arial" w:hAnsi="Arial" w:cs="Arial"/>
            <w:color w:val="000000" w:themeColor="text1"/>
            <w:sz w:val="21"/>
            <w:szCs w:val="21"/>
          </w:rPr>
          <w:t>c.guth@c-g-w.net</w:t>
        </w:r>
      </w:hyperlink>
      <w:r w:rsidR="004025B0" w:rsidRPr="001C71E9">
        <w:rPr>
          <w:rFonts w:ascii="Arial" w:hAnsi="Arial" w:cs="Arial"/>
          <w:color w:val="000000" w:themeColor="text1"/>
          <w:sz w:val="21"/>
          <w:szCs w:val="21"/>
        </w:rPr>
        <w:br/>
      </w:r>
      <w:r w:rsidRPr="001C71E9">
        <w:rPr>
          <w:rFonts w:ascii="Arial" w:hAnsi="Arial" w:cs="Arial"/>
          <w:color w:val="000000" w:themeColor="text1"/>
          <w:sz w:val="21"/>
          <w:szCs w:val="21"/>
        </w:rPr>
        <w:t>Tel: 02154-88852-11</w:t>
      </w:r>
      <w:r w:rsidR="004025B0" w:rsidRPr="001C71E9">
        <w:rPr>
          <w:rFonts w:ascii="Arial" w:hAnsi="Arial" w:cs="Arial"/>
          <w:color w:val="000000" w:themeColor="text1"/>
          <w:sz w:val="21"/>
          <w:szCs w:val="21"/>
        </w:rPr>
        <w:t xml:space="preserve">, </w:t>
      </w:r>
      <w:r w:rsidRPr="001C71E9">
        <w:rPr>
          <w:rFonts w:ascii="Arial" w:hAnsi="Arial" w:cs="Arial"/>
          <w:color w:val="000000" w:themeColor="text1"/>
          <w:sz w:val="21"/>
          <w:szCs w:val="21"/>
        </w:rPr>
        <w:t>Fax: 02154-88852-25</w:t>
      </w:r>
      <w:r w:rsidR="004025B0" w:rsidRPr="001C71E9">
        <w:rPr>
          <w:rFonts w:ascii="Arial" w:hAnsi="Arial" w:cs="Arial"/>
          <w:color w:val="000000" w:themeColor="text1"/>
          <w:sz w:val="21"/>
          <w:szCs w:val="21"/>
        </w:rPr>
        <w:br/>
      </w:r>
      <w:r w:rsidRPr="001C71E9">
        <w:rPr>
          <w:rFonts w:ascii="Arial" w:hAnsi="Arial" w:cs="Arial"/>
          <w:color w:val="000000" w:themeColor="text1"/>
          <w:sz w:val="21"/>
          <w:szCs w:val="21"/>
        </w:rPr>
        <w:t>Karl-Arnold-Straße 8</w:t>
      </w:r>
      <w:r w:rsidR="004025B0" w:rsidRPr="001C71E9">
        <w:rPr>
          <w:rFonts w:ascii="Arial" w:hAnsi="Arial" w:cs="Arial"/>
          <w:color w:val="000000" w:themeColor="text1"/>
          <w:sz w:val="21"/>
          <w:szCs w:val="21"/>
        </w:rPr>
        <w:t xml:space="preserve">, </w:t>
      </w:r>
      <w:r w:rsidRPr="001C71E9">
        <w:rPr>
          <w:rFonts w:ascii="Arial" w:hAnsi="Arial" w:cs="Arial"/>
          <w:color w:val="000000" w:themeColor="text1"/>
          <w:sz w:val="21"/>
          <w:szCs w:val="21"/>
        </w:rPr>
        <w:t>47877 Willich</w:t>
      </w:r>
      <w:r w:rsidRPr="001C71E9">
        <w:rPr>
          <w:rFonts w:ascii="Arial" w:hAnsi="Arial" w:cs="Arial"/>
          <w:color w:val="000000" w:themeColor="text1"/>
          <w:sz w:val="21"/>
          <w:szCs w:val="21"/>
        </w:rPr>
        <w:br/>
      </w:r>
      <w:hyperlink r:id="rId11" w:history="1">
        <w:r w:rsidRPr="001C71E9">
          <w:rPr>
            <w:rStyle w:val="Hyperlink"/>
            <w:rFonts w:ascii="Arial" w:hAnsi="Arial" w:cs="Arial"/>
            <w:color w:val="000000" w:themeColor="text1"/>
            <w:sz w:val="21"/>
            <w:szCs w:val="21"/>
          </w:rPr>
          <w:t>www.c-g-w.net</w:t>
        </w:r>
      </w:hyperlink>
    </w:p>
    <w:p w14:paraId="7EDF83AE" w14:textId="6BE69171" w:rsidR="00D2297A" w:rsidRPr="001C71E9" w:rsidRDefault="00D2297A" w:rsidP="004E24A2">
      <w:pPr>
        <w:rPr>
          <w:rStyle w:val="Hyperlink"/>
          <w:rFonts w:ascii="Arial" w:hAnsi="Arial" w:cs="Arial"/>
          <w:color w:val="000000" w:themeColor="text1"/>
          <w:sz w:val="21"/>
          <w:szCs w:val="21"/>
        </w:rPr>
      </w:pPr>
    </w:p>
    <w:p w14:paraId="2319190C" w14:textId="2D154B4F" w:rsidR="00D2297A" w:rsidRPr="001C71E9" w:rsidRDefault="00C27EFC" w:rsidP="00C27EFC">
      <w:pPr>
        <w:tabs>
          <w:tab w:val="center" w:pos="5335"/>
        </w:tabs>
        <w:spacing w:before="87"/>
        <w:rPr>
          <w:rStyle w:val="Hyperlink"/>
          <w:rFonts w:ascii="Arial" w:hAnsi="Arial" w:cs="Arial"/>
          <w:b/>
          <w:color w:val="000000" w:themeColor="text1"/>
          <w:u w:val="none"/>
        </w:rPr>
      </w:pPr>
      <w:r w:rsidRPr="001C71E9">
        <w:rPr>
          <w:rFonts w:ascii="Arial" w:hAnsi="Arial" w:cs="Arial"/>
          <w:b/>
          <w:color w:val="000000" w:themeColor="text1"/>
        </w:rPr>
        <w:t>Bildma</w:t>
      </w:r>
      <w:r w:rsidR="005E7089" w:rsidRPr="001C71E9">
        <w:rPr>
          <w:rFonts w:ascii="Arial" w:hAnsi="Arial" w:cs="Arial"/>
          <w:b/>
          <w:color w:val="000000" w:themeColor="text1"/>
        </w:rPr>
        <w:t>t</w:t>
      </w:r>
      <w:r w:rsidRPr="001C71E9">
        <w:rPr>
          <w:rFonts w:ascii="Arial" w:hAnsi="Arial" w:cs="Arial"/>
          <w:b/>
          <w:color w:val="000000" w:themeColor="text1"/>
        </w:rPr>
        <w:t>erial zur freien redaktionellen Verwendung, mit Angabe der Bildquelle.</w:t>
      </w:r>
    </w:p>
    <w:p w14:paraId="1BA6CD85" w14:textId="77777777" w:rsidR="00D2297A" w:rsidRPr="001C71E9" w:rsidRDefault="00D2297A" w:rsidP="00D2297A">
      <w:pPr>
        <w:spacing w:before="87" w:after="120"/>
        <w:rPr>
          <w:rFonts w:ascii="Droid Serif" w:hAnsi="Droid Serif" w:cs="Droid Serif"/>
          <w:color w:val="000000" w:themeColor="text1"/>
        </w:rPr>
      </w:pPr>
      <w:r w:rsidRPr="001C71E9">
        <w:rPr>
          <w:noProof/>
          <w:color w:val="000000" w:themeColor="text1"/>
          <w:lang w:eastAsia="de-DE"/>
        </w:rPr>
        <w:drawing>
          <wp:inline distT="0" distB="0" distL="0" distR="0" wp14:anchorId="27388845" wp14:editId="1CA266ED">
            <wp:extent cx="4295775" cy="2416373"/>
            <wp:effectExtent l="19050" t="19050" r="9525" b="222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21663" cy="2430935"/>
                    </a:xfrm>
                    <a:prstGeom prst="rect">
                      <a:avLst/>
                    </a:prstGeom>
                    <a:noFill/>
                    <a:ln w="9525" cmpd="sng">
                      <a:solidFill>
                        <a:schemeClr val="bg1">
                          <a:lumMod val="65000"/>
                        </a:schemeClr>
                      </a:solidFill>
                      <a:miter lim="800000"/>
                      <a:headEnd/>
                      <a:tailEnd/>
                    </a:ln>
                    <a:effectLst/>
                  </pic:spPr>
                </pic:pic>
              </a:graphicData>
            </a:graphic>
          </wp:inline>
        </w:drawing>
      </w:r>
    </w:p>
    <w:p w14:paraId="69273324" w14:textId="161CDF4C" w:rsidR="00D2297A" w:rsidRPr="001C71E9" w:rsidRDefault="00D2297A" w:rsidP="00D2297A">
      <w:pPr>
        <w:spacing w:before="87"/>
        <w:rPr>
          <w:rFonts w:ascii="Arial" w:hAnsi="Arial" w:cs="Arial"/>
          <w:color w:val="000000" w:themeColor="text1"/>
          <w:sz w:val="20"/>
          <w:szCs w:val="20"/>
        </w:rPr>
      </w:pPr>
      <w:r w:rsidRPr="001C71E9">
        <w:rPr>
          <w:rFonts w:ascii="Arial" w:hAnsi="Arial" w:cs="Arial"/>
          <w:color w:val="000000" w:themeColor="text1"/>
          <w:sz w:val="20"/>
          <w:szCs w:val="20"/>
          <w:u w:val="single"/>
        </w:rPr>
        <w:t>Bild 1</w:t>
      </w:r>
      <w:r w:rsidRPr="001C71E9">
        <w:rPr>
          <w:rFonts w:ascii="Arial" w:hAnsi="Arial" w:cs="Arial"/>
          <w:color w:val="000000" w:themeColor="text1"/>
          <w:sz w:val="20"/>
          <w:szCs w:val="20"/>
        </w:rPr>
        <w:t xml:space="preserve">: Die Bedeutung runderneuerter Lkw-Reifen </w:t>
      </w:r>
      <w:r w:rsidR="00D0689D" w:rsidRPr="001C71E9">
        <w:rPr>
          <w:rFonts w:ascii="Arial" w:hAnsi="Arial" w:cs="Arial"/>
          <w:color w:val="000000" w:themeColor="text1"/>
          <w:sz w:val="20"/>
          <w:szCs w:val="20"/>
        </w:rPr>
        <w:t xml:space="preserve">auf dem Reifenersatzmarkt </w:t>
      </w:r>
      <w:r w:rsidRPr="001C71E9">
        <w:rPr>
          <w:rFonts w:ascii="Arial" w:hAnsi="Arial" w:cs="Arial"/>
          <w:color w:val="000000" w:themeColor="text1"/>
          <w:sz w:val="20"/>
          <w:szCs w:val="20"/>
        </w:rPr>
        <w:t xml:space="preserve">gab 2022 im Vergleich zum Neureifenmarkt noch einmal deutlich nach. Ihr Marktanteil lag am Jahresende bei nur noch 20,1 Prozent. </w:t>
      </w:r>
      <w:r w:rsidR="00D0689D" w:rsidRPr="001C71E9">
        <w:rPr>
          <w:rFonts w:ascii="Arial" w:hAnsi="Arial" w:cs="Arial"/>
          <w:color w:val="000000" w:themeColor="text1"/>
          <w:sz w:val="20"/>
          <w:szCs w:val="20"/>
        </w:rPr>
        <w:br/>
      </w:r>
      <w:r w:rsidRPr="001C71E9">
        <w:rPr>
          <w:rFonts w:ascii="Arial" w:hAnsi="Arial" w:cs="Arial"/>
          <w:color w:val="000000" w:themeColor="text1"/>
          <w:sz w:val="20"/>
          <w:szCs w:val="20"/>
        </w:rPr>
        <w:t xml:space="preserve">Vor zehn Jahren lag der Marktanteil runderneuerter Lkw-Reifen noch bei 34,2 Prozent. Der Marktanteil runderneuerter Pkw-Reifen stagniert seit Jahren bei etwa einem Prozent. Datenquelle: ETRMA.  </w:t>
      </w:r>
    </w:p>
    <w:p w14:paraId="534B8853" w14:textId="13B9BEBB" w:rsidR="00855889" w:rsidRPr="001C71E9" w:rsidRDefault="00855889" w:rsidP="00D2297A">
      <w:pPr>
        <w:spacing w:before="87"/>
        <w:rPr>
          <w:rFonts w:ascii="Arial" w:hAnsi="Arial" w:cs="Arial"/>
          <w:color w:val="000000" w:themeColor="text1"/>
          <w:sz w:val="20"/>
          <w:szCs w:val="20"/>
        </w:rPr>
      </w:pPr>
    </w:p>
    <w:p w14:paraId="684E24B7" w14:textId="77777777" w:rsidR="00855889" w:rsidRPr="001C71E9" w:rsidRDefault="00855889" w:rsidP="00855889">
      <w:pPr>
        <w:spacing w:before="87"/>
        <w:rPr>
          <w:rFonts w:ascii="Arial" w:hAnsi="Arial" w:cs="Arial"/>
          <w:color w:val="000000" w:themeColor="text1"/>
          <w:sz w:val="20"/>
          <w:szCs w:val="20"/>
        </w:rPr>
      </w:pPr>
      <w:r w:rsidRPr="001C71E9">
        <w:rPr>
          <w:rFonts w:ascii="Arial" w:hAnsi="Arial" w:cs="Arial"/>
          <w:noProof/>
          <w:color w:val="000000" w:themeColor="text1"/>
          <w:sz w:val="20"/>
          <w:szCs w:val="20"/>
        </w:rPr>
        <w:lastRenderedPageBreak/>
        <w:drawing>
          <wp:inline distT="0" distB="0" distL="0" distR="0" wp14:anchorId="671AD5CB" wp14:editId="43EF8475">
            <wp:extent cx="4343400" cy="2443162"/>
            <wp:effectExtent l="19050" t="19050" r="19050" b="1460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351940" cy="2447966"/>
                    </a:xfrm>
                    <a:prstGeom prst="rect">
                      <a:avLst/>
                    </a:prstGeom>
                    <a:noFill/>
                    <a:ln>
                      <a:solidFill>
                        <a:schemeClr val="bg1">
                          <a:lumMod val="65000"/>
                        </a:schemeClr>
                      </a:solidFill>
                    </a:ln>
                  </pic:spPr>
                </pic:pic>
              </a:graphicData>
            </a:graphic>
          </wp:inline>
        </w:drawing>
      </w:r>
    </w:p>
    <w:p w14:paraId="18E36809" w14:textId="79F50D07" w:rsidR="00855889" w:rsidRPr="001C71E9" w:rsidRDefault="00855889" w:rsidP="00855889">
      <w:pPr>
        <w:spacing w:before="87"/>
        <w:rPr>
          <w:rFonts w:ascii="Arial" w:hAnsi="Arial" w:cs="Arial"/>
          <w:color w:val="000000" w:themeColor="text1"/>
          <w:sz w:val="20"/>
          <w:szCs w:val="20"/>
        </w:rPr>
      </w:pPr>
      <w:r w:rsidRPr="001C71E9">
        <w:rPr>
          <w:rFonts w:ascii="Arial" w:hAnsi="Arial" w:cs="Arial"/>
          <w:color w:val="000000" w:themeColor="text1"/>
          <w:sz w:val="20"/>
          <w:szCs w:val="20"/>
        </w:rPr>
        <w:t>Bild 2: Nach einer AZuR/DBU-Studie des Fraunhofer-Instituts UMSICHT spart die Runderneuerung im Vergleich zur Neureifenherstellung rund zwei Drittel der Rohstoffe (vor allem Kautschuk), über 60 Prozent CO</w:t>
      </w:r>
      <w:r w:rsidRPr="001C71E9">
        <w:rPr>
          <w:rFonts w:ascii="Arial" w:hAnsi="Arial" w:cs="Arial"/>
          <w:color w:val="000000" w:themeColor="text1"/>
          <w:sz w:val="20"/>
          <w:szCs w:val="20"/>
          <w:vertAlign w:val="subscript"/>
        </w:rPr>
        <w:t>2</w:t>
      </w:r>
      <w:r w:rsidRPr="001C71E9">
        <w:rPr>
          <w:rFonts w:ascii="Arial" w:hAnsi="Arial" w:cs="Arial"/>
          <w:color w:val="000000" w:themeColor="text1"/>
          <w:sz w:val="20"/>
          <w:szCs w:val="20"/>
        </w:rPr>
        <w:t xml:space="preserve">-Emissionen, rund 50 Prozent Energie und beträchtliche Mengen Abfälle. Bild: RuLa-BRW.  </w:t>
      </w:r>
    </w:p>
    <w:p w14:paraId="45C637EB" w14:textId="1CE6F48D" w:rsidR="00D2297A" w:rsidRPr="001C71E9" w:rsidRDefault="00D2297A" w:rsidP="00D2297A">
      <w:pPr>
        <w:spacing w:before="87"/>
        <w:rPr>
          <w:rFonts w:ascii="Arial" w:hAnsi="Arial" w:cs="Arial"/>
          <w:color w:val="000000" w:themeColor="text1"/>
          <w:sz w:val="20"/>
          <w:szCs w:val="20"/>
        </w:rPr>
      </w:pPr>
      <w:r w:rsidRPr="001C71E9">
        <w:rPr>
          <w:rFonts w:ascii="Arial" w:hAnsi="Arial" w:cs="Arial"/>
          <w:noProof/>
          <w:color w:val="000000" w:themeColor="text1"/>
          <w:sz w:val="20"/>
          <w:szCs w:val="20"/>
        </w:rPr>
        <w:drawing>
          <wp:inline distT="0" distB="0" distL="0" distR="0" wp14:anchorId="7BE2C5AB" wp14:editId="44BAF332">
            <wp:extent cx="4310062" cy="2424410"/>
            <wp:effectExtent l="19050" t="19050" r="14605" b="1460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318237" cy="2429008"/>
                    </a:xfrm>
                    <a:prstGeom prst="rect">
                      <a:avLst/>
                    </a:prstGeom>
                    <a:noFill/>
                    <a:ln>
                      <a:solidFill>
                        <a:schemeClr val="bg1">
                          <a:lumMod val="65000"/>
                        </a:schemeClr>
                      </a:solidFill>
                    </a:ln>
                  </pic:spPr>
                </pic:pic>
              </a:graphicData>
            </a:graphic>
          </wp:inline>
        </w:drawing>
      </w:r>
    </w:p>
    <w:p w14:paraId="60E72658" w14:textId="20F771C0" w:rsidR="00855889" w:rsidRPr="001C71E9" w:rsidRDefault="00855889" w:rsidP="00D2297A">
      <w:pPr>
        <w:spacing w:before="87"/>
        <w:rPr>
          <w:rFonts w:ascii="Arial" w:hAnsi="Arial" w:cs="Arial"/>
          <w:color w:val="000000" w:themeColor="text1"/>
          <w:sz w:val="20"/>
          <w:szCs w:val="20"/>
        </w:rPr>
      </w:pPr>
      <w:r w:rsidRPr="001C71E9">
        <w:rPr>
          <w:rFonts w:ascii="Arial" w:hAnsi="Arial" w:cs="Arial"/>
          <w:color w:val="000000" w:themeColor="text1"/>
          <w:sz w:val="20"/>
          <w:szCs w:val="20"/>
          <w:u w:val="single"/>
        </w:rPr>
        <w:t>Bild 3</w:t>
      </w:r>
      <w:r w:rsidRPr="001C71E9">
        <w:rPr>
          <w:rFonts w:ascii="Arial" w:hAnsi="Arial" w:cs="Arial"/>
          <w:color w:val="000000" w:themeColor="text1"/>
          <w:sz w:val="20"/>
          <w:szCs w:val="20"/>
        </w:rPr>
        <w:t xml:space="preserve">: </w:t>
      </w:r>
      <w:r w:rsidR="00D2297A" w:rsidRPr="001C71E9">
        <w:rPr>
          <w:rFonts w:ascii="Arial" w:hAnsi="Arial" w:cs="Arial"/>
          <w:color w:val="000000" w:themeColor="text1"/>
          <w:sz w:val="20"/>
          <w:szCs w:val="20"/>
        </w:rPr>
        <w:t xml:space="preserve">Runderneuerte Premiumreifen </w:t>
      </w:r>
      <w:r w:rsidRPr="001C71E9">
        <w:rPr>
          <w:rFonts w:ascii="Arial" w:hAnsi="Arial" w:cs="Arial"/>
          <w:color w:val="000000" w:themeColor="text1"/>
          <w:sz w:val="20"/>
          <w:szCs w:val="20"/>
        </w:rPr>
        <w:t xml:space="preserve">der Marke </w:t>
      </w:r>
      <w:r w:rsidR="00D2297A" w:rsidRPr="001C71E9">
        <w:rPr>
          <w:rFonts w:ascii="Arial" w:hAnsi="Arial" w:cs="Arial"/>
          <w:color w:val="000000" w:themeColor="text1"/>
          <w:sz w:val="20"/>
          <w:szCs w:val="20"/>
        </w:rPr>
        <w:t xml:space="preserve">King-Meiler eignen sich mit asymmetrischem Profil </w:t>
      </w:r>
      <w:r w:rsidRPr="001C71E9">
        <w:rPr>
          <w:rFonts w:ascii="Arial" w:hAnsi="Arial" w:cs="Arial"/>
          <w:color w:val="000000" w:themeColor="text1"/>
          <w:sz w:val="20"/>
          <w:szCs w:val="20"/>
        </w:rPr>
        <w:br/>
      </w:r>
      <w:r w:rsidR="00D2297A" w:rsidRPr="001C71E9">
        <w:rPr>
          <w:rFonts w:ascii="Arial" w:hAnsi="Arial" w:cs="Arial"/>
          <w:color w:val="000000" w:themeColor="text1"/>
          <w:sz w:val="20"/>
          <w:szCs w:val="20"/>
        </w:rPr>
        <w:t>für Pkw der Mittelklasse. Die Hochleistungsreifen haben als erste Runderneuerte die B-Kennzeichnung für Nasshaftung und den Rollwiderstand erreicht. In puncto Geräuschentwicklung erreichen die Runderneuerte</w:t>
      </w:r>
      <w:r w:rsidR="00CB5B63" w:rsidRPr="001C71E9">
        <w:rPr>
          <w:rFonts w:ascii="Arial" w:hAnsi="Arial" w:cs="Arial"/>
          <w:color w:val="000000" w:themeColor="text1"/>
          <w:sz w:val="20"/>
          <w:szCs w:val="20"/>
        </w:rPr>
        <w:t>n</w:t>
      </w:r>
      <w:r w:rsidR="00D2297A" w:rsidRPr="001C71E9">
        <w:rPr>
          <w:rFonts w:ascii="Arial" w:hAnsi="Arial" w:cs="Arial"/>
          <w:color w:val="000000" w:themeColor="text1"/>
          <w:sz w:val="20"/>
          <w:szCs w:val="20"/>
        </w:rPr>
        <w:t xml:space="preserve"> niedrige 70 dB. Die Zulassung für Geschwindigkeiten bis zu 270 km/h verleiht hohe Sicherheit. Bild: </w:t>
      </w:r>
      <w:r w:rsidRPr="001C71E9">
        <w:rPr>
          <w:rFonts w:ascii="Arial" w:hAnsi="Arial" w:cs="Arial"/>
          <w:color w:val="000000" w:themeColor="text1"/>
          <w:sz w:val="20"/>
          <w:szCs w:val="20"/>
        </w:rPr>
        <w:t>Reifen Hinghaus</w:t>
      </w:r>
      <w:r w:rsidR="00D2297A" w:rsidRPr="001C71E9">
        <w:rPr>
          <w:rFonts w:ascii="Arial" w:hAnsi="Arial" w:cs="Arial"/>
          <w:color w:val="000000" w:themeColor="text1"/>
          <w:sz w:val="20"/>
          <w:szCs w:val="20"/>
        </w:rPr>
        <w:t>.</w:t>
      </w:r>
    </w:p>
    <w:p w14:paraId="3462BC9B" w14:textId="5E58FC57" w:rsidR="00D2297A" w:rsidRPr="001C71E9" w:rsidRDefault="00D2297A" w:rsidP="00D2297A">
      <w:pPr>
        <w:spacing w:after="120" w:line="266" w:lineRule="auto"/>
        <w:rPr>
          <w:rFonts w:ascii="Droid Serif" w:hAnsi="Droid Serif" w:cs="Droid Serif"/>
          <w:color w:val="313434"/>
        </w:rPr>
      </w:pPr>
      <w:r w:rsidRPr="001C71E9">
        <w:rPr>
          <w:noProof/>
          <w:color w:val="313434"/>
          <w:lang w:eastAsia="de-DE"/>
        </w:rPr>
        <w:lastRenderedPageBreak/>
        <w:drawing>
          <wp:inline distT="0" distB="0" distL="0" distR="0" wp14:anchorId="1E0B5904" wp14:editId="39438237">
            <wp:extent cx="4295775" cy="2416373"/>
            <wp:effectExtent l="19050" t="19050" r="9525" b="222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295775" cy="2416373"/>
                    </a:xfrm>
                    <a:prstGeom prst="rect">
                      <a:avLst/>
                    </a:prstGeom>
                    <a:noFill/>
                    <a:ln w="9525" cmpd="sng">
                      <a:solidFill>
                        <a:schemeClr val="bg1">
                          <a:lumMod val="65000"/>
                        </a:schemeClr>
                      </a:solidFill>
                      <a:miter lim="800000"/>
                      <a:headEnd/>
                      <a:tailEnd/>
                    </a:ln>
                    <a:effectLst/>
                  </pic:spPr>
                </pic:pic>
              </a:graphicData>
            </a:graphic>
          </wp:inline>
        </w:drawing>
      </w:r>
    </w:p>
    <w:p w14:paraId="5F0F1246" w14:textId="56020737" w:rsidR="00FB78D8" w:rsidRPr="00855889" w:rsidRDefault="00855889" w:rsidP="00855889">
      <w:pPr>
        <w:spacing w:after="60" w:line="266" w:lineRule="auto"/>
        <w:rPr>
          <w:rFonts w:ascii="Arial" w:hAnsi="Arial" w:cs="Arial"/>
          <w:color w:val="303434"/>
          <w:sz w:val="20"/>
          <w:szCs w:val="20"/>
        </w:rPr>
      </w:pPr>
      <w:r w:rsidRPr="001C71E9">
        <w:rPr>
          <w:rFonts w:ascii="Arial" w:hAnsi="Arial" w:cs="Arial"/>
          <w:color w:val="303434"/>
          <w:sz w:val="20"/>
          <w:szCs w:val="20"/>
          <w:u w:val="single"/>
        </w:rPr>
        <w:t>Bild 4</w:t>
      </w:r>
      <w:r w:rsidRPr="001C71E9">
        <w:rPr>
          <w:rFonts w:ascii="Arial" w:hAnsi="Arial" w:cs="Arial"/>
          <w:color w:val="303434"/>
          <w:sz w:val="20"/>
          <w:szCs w:val="20"/>
        </w:rPr>
        <w:t xml:space="preserve">: </w:t>
      </w:r>
      <w:r w:rsidR="00D2297A" w:rsidRPr="001C71E9">
        <w:rPr>
          <w:rFonts w:ascii="Arial" w:hAnsi="Arial" w:cs="Arial"/>
          <w:color w:val="303434"/>
          <w:sz w:val="20"/>
          <w:szCs w:val="20"/>
        </w:rPr>
        <w:t>Bei der Runderneuerung werden von Reifen Hinghaus mit modernster Technologie nur die Laufflächen und Seitenwände abgefahrener Reifen erneuert. Dabei kommen saisonal optimierte Gummimischungen hoher Qualität zum Einsatz. Die Profile runderneuerter Premium-Reifen der Marke King-Meiler für Pkw, SUV und LLkw entsprechen denen von Neureifen. Bild: Reifen Hinghaus.</w:t>
      </w:r>
      <w:r w:rsidR="00D2297A">
        <w:rPr>
          <w:rFonts w:ascii="Arial" w:hAnsi="Arial" w:cs="Arial"/>
          <w:color w:val="303434"/>
          <w:sz w:val="20"/>
          <w:szCs w:val="20"/>
        </w:rPr>
        <w:t xml:space="preserve"> </w:t>
      </w:r>
    </w:p>
    <w:p w14:paraId="3A3A488A" w14:textId="40924255" w:rsidR="00105E65" w:rsidRPr="00105E65" w:rsidRDefault="00105E65" w:rsidP="00105E65">
      <w:pPr>
        <w:spacing w:before="87"/>
        <w:rPr>
          <w:rFonts w:ascii="Arial" w:hAnsi="Arial" w:cs="Arial"/>
          <w:color w:val="000000" w:themeColor="text1"/>
          <w:sz w:val="20"/>
          <w:szCs w:val="20"/>
        </w:rPr>
      </w:pPr>
    </w:p>
    <w:sectPr w:rsidR="00105E65" w:rsidRPr="00105E65" w:rsidSect="005E7089">
      <w:headerReference w:type="default" r:id="rId16"/>
      <w:footerReference w:type="default" r:id="rId17"/>
      <w:headerReference w:type="first" r:id="rId18"/>
      <w:pgSz w:w="11906" w:h="16838"/>
      <w:pgMar w:top="4253" w:right="991" w:bottom="1418" w:left="1134"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580D4" w14:textId="77777777" w:rsidR="00905FC5" w:rsidRDefault="00905FC5" w:rsidP="00D314B4">
      <w:pPr>
        <w:spacing w:after="0" w:line="240" w:lineRule="auto"/>
      </w:pPr>
      <w:r>
        <w:separator/>
      </w:r>
    </w:p>
  </w:endnote>
  <w:endnote w:type="continuationSeparator" w:id="0">
    <w:p w14:paraId="02892092" w14:textId="77777777" w:rsidR="00905FC5" w:rsidRDefault="00905FC5"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roid Serif">
    <w:panose1 w:val="02020600060500020200"/>
    <w:charset w:val="00"/>
    <w:family w:val="roman"/>
    <w:pitch w:val="variable"/>
    <w:sig w:usb0="E00002EF" w:usb1="4000205B" w:usb2="00000028" w:usb3="00000000" w:csb0="0000019F" w:csb1="00000000"/>
  </w:font>
  <w:font w:name="Prata">
    <w:panose1 w:val="00000500000000000000"/>
    <w:charset w:val="00"/>
    <w:family w:val="auto"/>
    <w:pitch w:val="variable"/>
    <w:sig w:usb0="20000203" w:usb1="00000000" w:usb2="00000000" w:usb3="00000000" w:csb0="000001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91551"/>
      <w:docPartObj>
        <w:docPartGallery w:val="Page Numbers (Bottom of Page)"/>
        <w:docPartUnique/>
      </w:docPartObj>
    </w:sdtPr>
    <w:sdtEndPr/>
    <w:sdtContent>
      <w:p w14:paraId="071D85E2" w14:textId="787EB4EB" w:rsidR="00AD70B3" w:rsidRPr="00AD70B3" w:rsidRDefault="00ED2858" w:rsidP="00AD70B3">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9AB46" w14:textId="77777777" w:rsidR="00905FC5" w:rsidRDefault="00905FC5" w:rsidP="00D314B4">
      <w:pPr>
        <w:spacing w:after="0" w:line="240" w:lineRule="auto"/>
      </w:pPr>
      <w:r>
        <w:separator/>
      </w:r>
    </w:p>
  </w:footnote>
  <w:footnote w:type="continuationSeparator" w:id="0">
    <w:p w14:paraId="6544EADC" w14:textId="77777777" w:rsidR="00905FC5" w:rsidRDefault="00905FC5"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89975" w14:textId="3F143037" w:rsidR="007A351F" w:rsidRDefault="004E7F00" w:rsidP="007A351F">
    <w:pPr>
      <w:pStyle w:val="Kopfzeile"/>
    </w:pPr>
    <w:r w:rsidRPr="00042DDD">
      <w:rPr>
        <w:rFonts w:ascii="Prata" w:hAnsi="Prata"/>
        <w:b/>
        <w:bCs/>
        <w:noProof/>
        <w:color w:val="565655"/>
        <w:spacing w:val="10"/>
        <w:sz w:val="36"/>
        <w:szCs w:val="36"/>
        <w:u w:val="single"/>
      </w:rPr>
      <w:drawing>
        <wp:anchor distT="0" distB="0" distL="114300" distR="114300" simplePos="0" relativeHeight="251662336" behindDoc="0" locked="0" layoutInCell="1" allowOverlap="1" wp14:anchorId="46392B00" wp14:editId="47D55A14">
          <wp:simplePos x="0" y="0"/>
          <wp:positionH relativeFrom="margin">
            <wp:posOffset>5343525</wp:posOffset>
          </wp:positionH>
          <wp:positionV relativeFrom="paragraph">
            <wp:posOffset>-72708</wp:posOffset>
          </wp:positionV>
          <wp:extent cx="775970" cy="494665"/>
          <wp:effectExtent l="0" t="0" r="5080" b="635"/>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70"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0288" behindDoc="0" locked="0" layoutInCell="1" allowOverlap="1" wp14:anchorId="6393F8B1" wp14:editId="52A977E5">
          <wp:simplePos x="0" y="0"/>
          <wp:positionH relativeFrom="margin">
            <wp:posOffset>4257675</wp:posOffset>
          </wp:positionH>
          <wp:positionV relativeFrom="paragraph">
            <wp:posOffset>-45085</wp:posOffset>
          </wp:positionV>
          <wp:extent cx="920115" cy="956945"/>
          <wp:effectExtent l="0" t="0" r="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20115"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0B6C2" w14:textId="05A771A9" w:rsidR="00D314B4" w:rsidRPr="00186BAB" w:rsidRDefault="004E7F00" w:rsidP="00F40C26">
    <w:pPr>
      <w:pStyle w:val="Kopfzeile"/>
      <w:spacing w:before="240"/>
      <w:rPr>
        <w:rFonts w:ascii="Arial" w:hAnsi="Arial" w:cs="Arial"/>
        <w:b/>
        <w:bCs/>
        <w:sz w:val="36"/>
        <w:szCs w:val="36"/>
      </w:rPr>
    </w:pPr>
    <w:r w:rsidRPr="00042DDD">
      <w:rPr>
        <w:rFonts w:ascii="Prata" w:hAnsi="Prata"/>
        <w:b/>
        <w:bCs/>
        <w:noProof/>
        <w:color w:val="565655"/>
        <w:spacing w:val="10"/>
        <w:sz w:val="36"/>
        <w:szCs w:val="36"/>
        <w:u w:val="single"/>
      </w:rPr>
      <w:drawing>
        <wp:anchor distT="0" distB="0" distL="114300" distR="114300" simplePos="0" relativeHeight="251661312" behindDoc="0" locked="0" layoutInCell="1" allowOverlap="1" wp14:anchorId="666B329E" wp14:editId="5EED937F">
          <wp:simplePos x="0" y="0"/>
          <wp:positionH relativeFrom="margin">
            <wp:posOffset>5347970</wp:posOffset>
          </wp:positionH>
          <wp:positionV relativeFrom="paragraph">
            <wp:posOffset>229552</wp:posOffset>
          </wp:positionV>
          <wp:extent cx="771207" cy="578405"/>
          <wp:effectExtent l="0" t="0" r="0"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71207" cy="57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51F">
      <w:rPr>
        <w:rFonts w:ascii="Arial" w:hAnsi="Arial" w:cs="Arial"/>
        <w:b/>
        <w:bCs/>
        <w:sz w:val="36"/>
        <w:szCs w:val="36"/>
      </w:rPr>
      <w:t>AZuR-</w:t>
    </w:r>
    <w:r w:rsidR="00C67C6C" w:rsidRPr="00186BAB">
      <w:rPr>
        <w:rFonts w:ascii="Arial" w:hAnsi="Arial" w:cs="Arial"/>
        <w:b/>
        <w:bCs/>
        <w:sz w:val="36"/>
        <w:szCs w:val="36"/>
      </w:rPr>
      <w:t>Pressemitteilung</w:t>
    </w:r>
    <w:r w:rsidR="00B73F9A">
      <w:rPr>
        <w:rFonts w:ascii="Arial" w:hAnsi="Arial" w:cs="Arial"/>
        <w:b/>
        <w:bCs/>
        <w:sz w:val="36"/>
        <w:szCs w:val="3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A9B6A98"/>
    <w:multiLevelType w:val="hybridMultilevel"/>
    <w:tmpl w:val="5290E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42997608">
    <w:abstractNumId w:val="0"/>
  </w:num>
  <w:num w:numId="2" w16cid:durableId="719061299">
    <w:abstractNumId w:val="2"/>
  </w:num>
  <w:num w:numId="3" w16cid:durableId="89545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2BA"/>
    <w:rsid w:val="0000357D"/>
    <w:rsid w:val="00003FDF"/>
    <w:rsid w:val="00005631"/>
    <w:rsid w:val="0000715F"/>
    <w:rsid w:val="000103B5"/>
    <w:rsid w:val="00014C90"/>
    <w:rsid w:val="0001590F"/>
    <w:rsid w:val="000243D5"/>
    <w:rsid w:val="0002463A"/>
    <w:rsid w:val="00032A8A"/>
    <w:rsid w:val="000359B3"/>
    <w:rsid w:val="00036B11"/>
    <w:rsid w:val="0003779B"/>
    <w:rsid w:val="000405D1"/>
    <w:rsid w:val="00044C86"/>
    <w:rsid w:val="000516CA"/>
    <w:rsid w:val="00060621"/>
    <w:rsid w:val="00062BC9"/>
    <w:rsid w:val="0006390B"/>
    <w:rsid w:val="0006645A"/>
    <w:rsid w:val="00072021"/>
    <w:rsid w:val="00074ABD"/>
    <w:rsid w:val="00075F1F"/>
    <w:rsid w:val="00090988"/>
    <w:rsid w:val="000A1A8F"/>
    <w:rsid w:val="000A2E07"/>
    <w:rsid w:val="000B0AB7"/>
    <w:rsid w:val="000B491C"/>
    <w:rsid w:val="000B5AEE"/>
    <w:rsid w:val="000B6D2A"/>
    <w:rsid w:val="000B6E45"/>
    <w:rsid w:val="000C006B"/>
    <w:rsid w:val="000C5BC9"/>
    <w:rsid w:val="000D124F"/>
    <w:rsid w:val="000D1CB2"/>
    <w:rsid w:val="000D4A1B"/>
    <w:rsid w:val="000D527C"/>
    <w:rsid w:val="000D5C3A"/>
    <w:rsid w:val="000E37ED"/>
    <w:rsid w:val="000E3A12"/>
    <w:rsid w:val="000E46DA"/>
    <w:rsid w:val="000E47D0"/>
    <w:rsid w:val="000F02A0"/>
    <w:rsid w:val="000F2CF0"/>
    <w:rsid w:val="000F3008"/>
    <w:rsid w:val="000F3B7E"/>
    <w:rsid w:val="000F4CB5"/>
    <w:rsid w:val="000F65B1"/>
    <w:rsid w:val="000F7A9C"/>
    <w:rsid w:val="000F7FDC"/>
    <w:rsid w:val="0010198D"/>
    <w:rsid w:val="001043BD"/>
    <w:rsid w:val="00105E65"/>
    <w:rsid w:val="00113560"/>
    <w:rsid w:val="001155BF"/>
    <w:rsid w:val="00115B20"/>
    <w:rsid w:val="00115FFF"/>
    <w:rsid w:val="00124823"/>
    <w:rsid w:val="00125DF3"/>
    <w:rsid w:val="00136668"/>
    <w:rsid w:val="0013675E"/>
    <w:rsid w:val="00136ACA"/>
    <w:rsid w:val="001443A6"/>
    <w:rsid w:val="00144F0C"/>
    <w:rsid w:val="00145950"/>
    <w:rsid w:val="001461AB"/>
    <w:rsid w:val="00146CAF"/>
    <w:rsid w:val="00146FDE"/>
    <w:rsid w:val="00150083"/>
    <w:rsid w:val="0015151F"/>
    <w:rsid w:val="0015657D"/>
    <w:rsid w:val="00161840"/>
    <w:rsid w:val="00162C7A"/>
    <w:rsid w:val="001637F3"/>
    <w:rsid w:val="00164B70"/>
    <w:rsid w:val="00165933"/>
    <w:rsid w:val="00165A94"/>
    <w:rsid w:val="00165DEA"/>
    <w:rsid w:val="00170494"/>
    <w:rsid w:val="00171EF0"/>
    <w:rsid w:val="00172406"/>
    <w:rsid w:val="001742ED"/>
    <w:rsid w:val="00180403"/>
    <w:rsid w:val="00186BAB"/>
    <w:rsid w:val="00187764"/>
    <w:rsid w:val="00193A8B"/>
    <w:rsid w:val="00193EDD"/>
    <w:rsid w:val="001A5C25"/>
    <w:rsid w:val="001B12F6"/>
    <w:rsid w:val="001B75BA"/>
    <w:rsid w:val="001C02C4"/>
    <w:rsid w:val="001C088F"/>
    <w:rsid w:val="001C27AC"/>
    <w:rsid w:val="001C71E9"/>
    <w:rsid w:val="001D0274"/>
    <w:rsid w:val="001E0B84"/>
    <w:rsid w:val="001E1EDA"/>
    <w:rsid w:val="001F2B1E"/>
    <w:rsid w:val="001F6434"/>
    <w:rsid w:val="002056C0"/>
    <w:rsid w:val="00211278"/>
    <w:rsid w:val="002125B5"/>
    <w:rsid w:val="00213717"/>
    <w:rsid w:val="00215FB0"/>
    <w:rsid w:val="00217641"/>
    <w:rsid w:val="002251A5"/>
    <w:rsid w:val="00235482"/>
    <w:rsid w:val="00240B11"/>
    <w:rsid w:val="00244CB7"/>
    <w:rsid w:val="00251024"/>
    <w:rsid w:val="002513AD"/>
    <w:rsid w:val="00251AB8"/>
    <w:rsid w:val="002601DE"/>
    <w:rsid w:val="00272446"/>
    <w:rsid w:val="00281331"/>
    <w:rsid w:val="0028637B"/>
    <w:rsid w:val="00287A3A"/>
    <w:rsid w:val="00293D4C"/>
    <w:rsid w:val="00293DED"/>
    <w:rsid w:val="00293F3E"/>
    <w:rsid w:val="00294968"/>
    <w:rsid w:val="00296057"/>
    <w:rsid w:val="002A07B0"/>
    <w:rsid w:val="002A26B5"/>
    <w:rsid w:val="002A2ACF"/>
    <w:rsid w:val="002A32A3"/>
    <w:rsid w:val="002A5A18"/>
    <w:rsid w:val="002A6D48"/>
    <w:rsid w:val="002A7BBC"/>
    <w:rsid w:val="002B221D"/>
    <w:rsid w:val="002B336C"/>
    <w:rsid w:val="002B50B8"/>
    <w:rsid w:val="002C460A"/>
    <w:rsid w:val="002C5C7C"/>
    <w:rsid w:val="002D2FB1"/>
    <w:rsid w:val="002E04A6"/>
    <w:rsid w:val="002E318A"/>
    <w:rsid w:val="002E3B0C"/>
    <w:rsid w:val="002E5807"/>
    <w:rsid w:val="002E792D"/>
    <w:rsid w:val="002E7CAC"/>
    <w:rsid w:val="002E7DEB"/>
    <w:rsid w:val="002F6236"/>
    <w:rsid w:val="002F7F06"/>
    <w:rsid w:val="003041BD"/>
    <w:rsid w:val="00305A93"/>
    <w:rsid w:val="00305C5D"/>
    <w:rsid w:val="003118CF"/>
    <w:rsid w:val="00314AFF"/>
    <w:rsid w:val="00315562"/>
    <w:rsid w:val="00320772"/>
    <w:rsid w:val="00320AB7"/>
    <w:rsid w:val="00322120"/>
    <w:rsid w:val="003246F5"/>
    <w:rsid w:val="00324C64"/>
    <w:rsid w:val="0033089D"/>
    <w:rsid w:val="003308D0"/>
    <w:rsid w:val="003321CD"/>
    <w:rsid w:val="00340D6A"/>
    <w:rsid w:val="00342350"/>
    <w:rsid w:val="0034340E"/>
    <w:rsid w:val="003444DF"/>
    <w:rsid w:val="00346ED3"/>
    <w:rsid w:val="00352BCB"/>
    <w:rsid w:val="00355516"/>
    <w:rsid w:val="003706F9"/>
    <w:rsid w:val="00370B1D"/>
    <w:rsid w:val="00374922"/>
    <w:rsid w:val="0037685E"/>
    <w:rsid w:val="00376999"/>
    <w:rsid w:val="00384C16"/>
    <w:rsid w:val="00385666"/>
    <w:rsid w:val="00385ADB"/>
    <w:rsid w:val="0039276F"/>
    <w:rsid w:val="00394BE4"/>
    <w:rsid w:val="00395CF0"/>
    <w:rsid w:val="003A151A"/>
    <w:rsid w:val="003A2471"/>
    <w:rsid w:val="003A35E3"/>
    <w:rsid w:val="003A7190"/>
    <w:rsid w:val="003A7F88"/>
    <w:rsid w:val="003B2801"/>
    <w:rsid w:val="003B2C54"/>
    <w:rsid w:val="003B2F1B"/>
    <w:rsid w:val="003B2FDC"/>
    <w:rsid w:val="003B4775"/>
    <w:rsid w:val="003C4015"/>
    <w:rsid w:val="003C67E7"/>
    <w:rsid w:val="003D2956"/>
    <w:rsid w:val="003D6B8A"/>
    <w:rsid w:val="00401EFD"/>
    <w:rsid w:val="004025B0"/>
    <w:rsid w:val="00402732"/>
    <w:rsid w:val="00404C77"/>
    <w:rsid w:val="00407223"/>
    <w:rsid w:val="00407B2D"/>
    <w:rsid w:val="0041714E"/>
    <w:rsid w:val="0042548F"/>
    <w:rsid w:val="00430BE5"/>
    <w:rsid w:val="00431731"/>
    <w:rsid w:val="00432178"/>
    <w:rsid w:val="00435430"/>
    <w:rsid w:val="00441B8B"/>
    <w:rsid w:val="00441F30"/>
    <w:rsid w:val="0044706E"/>
    <w:rsid w:val="00447772"/>
    <w:rsid w:val="00447A69"/>
    <w:rsid w:val="00450AB7"/>
    <w:rsid w:val="00455118"/>
    <w:rsid w:val="004602CA"/>
    <w:rsid w:val="004625FB"/>
    <w:rsid w:val="00465553"/>
    <w:rsid w:val="00466E5C"/>
    <w:rsid w:val="0047164F"/>
    <w:rsid w:val="00473FEF"/>
    <w:rsid w:val="00474AE4"/>
    <w:rsid w:val="0047609E"/>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C3951"/>
    <w:rsid w:val="004C5067"/>
    <w:rsid w:val="004C594A"/>
    <w:rsid w:val="004D21CA"/>
    <w:rsid w:val="004E24A2"/>
    <w:rsid w:val="004E6832"/>
    <w:rsid w:val="004E7F00"/>
    <w:rsid w:val="004F26D7"/>
    <w:rsid w:val="00504E40"/>
    <w:rsid w:val="00514624"/>
    <w:rsid w:val="005214EE"/>
    <w:rsid w:val="00521D20"/>
    <w:rsid w:val="00525010"/>
    <w:rsid w:val="0052528D"/>
    <w:rsid w:val="00531B1E"/>
    <w:rsid w:val="005354C1"/>
    <w:rsid w:val="00536763"/>
    <w:rsid w:val="00537894"/>
    <w:rsid w:val="00541396"/>
    <w:rsid w:val="0054239B"/>
    <w:rsid w:val="00547143"/>
    <w:rsid w:val="00547E55"/>
    <w:rsid w:val="00550EAC"/>
    <w:rsid w:val="005528B7"/>
    <w:rsid w:val="0055605A"/>
    <w:rsid w:val="00563954"/>
    <w:rsid w:val="00566F34"/>
    <w:rsid w:val="005672FF"/>
    <w:rsid w:val="00570565"/>
    <w:rsid w:val="00571533"/>
    <w:rsid w:val="005743B9"/>
    <w:rsid w:val="0058045E"/>
    <w:rsid w:val="0058061E"/>
    <w:rsid w:val="00580DFC"/>
    <w:rsid w:val="00583548"/>
    <w:rsid w:val="00583C14"/>
    <w:rsid w:val="005868ED"/>
    <w:rsid w:val="00586E6A"/>
    <w:rsid w:val="00593823"/>
    <w:rsid w:val="00594C6C"/>
    <w:rsid w:val="0059682D"/>
    <w:rsid w:val="00597E07"/>
    <w:rsid w:val="005A2E66"/>
    <w:rsid w:val="005A4091"/>
    <w:rsid w:val="005A45B8"/>
    <w:rsid w:val="005A6600"/>
    <w:rsid w:val="005B0422"/>
    <w:rsid w:val="005B262D"/>
    <w:rsid w:val="005B50EB"/>
    <w:rsid w:val="005C2F91"/>
    <w:rsid w:val="005C5F11"/>
    <w:rsid w:val="005C65DE"/>
    <w:rsid w:val="005D193F"/>
    <w:rsid w:val="005D4497"/>
    <w:rsid w:val="005D6ADD"/>
    <w:rsid w:val="005D6DA6"/>
    <w:rsid w:val="005E19A9"/>
    <w:rsid w:val="005E26A2"/>
    <w:rsid w:val="005E3730"/>
    <w:rsid w:val="005E5431"/>
    <w:rsid w:val="005E7089"/>
    <w:rsid w:val="005F0897"/>
    <w:rsid w:val="005F46A0"/>
    <w:rsid w:val="005F4B03"/>
    <w:rsid w:val="00602EE9"/>
    <w:rsid w:val="006032C4"/>
    <w:rsid w:val="0060741B"/>
    <w:rsid w:val="00610EC3"/>
    <w:rsid w:val="00611711"/>
    <w:rsid w:val="00613C7A"/>
    <w:rsid w:val="00623141"/>
    <w:rsid w:val="00623EC8"/>
    <w:rsid w:val="00624106"/>
    <w:rsid w:val="00624D8A"/>
    <w:rsid w:val="00630873"/>
    <w:rsid w:val="006313C2"/>
    <w:rsid w:val="006356E9"/>
    <w:rsid w:val="00653D01"/>
    <w:rsid w:val="00654B2B"/>
    <w:rsid w:val="00655C2A"/>
    <w:rsid w:val="006608DB"/>
    <w:rsid w:val="00660B55"/>
    <w:rsid w:val="006632EE"/>
    <w:rsid w:val="006659FE"/>
    <w:rsid w:val="00667319"/>
    <w:rsid w:val="0067414C"/>
    <w:rsid w:val="006842C2"/>
    <w:rsid w:val="00692288"/>
    <w:rsid w:val="006947E8"/>
    <w:rsid w:val="00695A05"/>
    <w:rsid w:val="006A1024"/>
    <w:rsid w:val="006A4DC8"/>
    <w:rsid w:val="006A6411"/>
    <w:rsid w:val="006A76B5"/>
    <w:rsid w:val="006A7C3B"/>
    <w:rsid w:val="006B01D4"/>
    <w:rsid w:val="006B3739"/>
    <w:rsid w:val="006C0FC1"/>
    <w:rsid w:val="006D3237"/>
    <w:rsid w:val="006D5A0C"/>
    <w:rsid w:val="006E120C"/>
    <w:rsid w:val="006E77F1"/>
    <w:rsid w:val="006F1A7D"/>
    <w:rsid w:val="006F3FCD"/>
    <w:rsid w:val="006F532C"/>
    <w:rsid w:val="006F71EC"/>
    <w:rsid w:val="006F7CF9"/>
    <w:rsid w:val="0070006E"/>
    <w:rsid w:val="00705AFB"/>
    <w:rsid w:val="007158DC"/>
    <w:rsid w:val="007170C6"/>
    <w:rsid w:val="00717950"/>
    <w:rsid w:val="007243DC"/>
    <w:rsid w:val="007300FA"/>
    <w:rsid w:val="00730296"/>
    <w:rsid w:val="007315C9"/>
    <w:rsid w:val="00734985"/>
    <w:rsid w:val="00743513"/>
    <w:rsid w:val="007453EA"/>
    <w:rsid w:val="00747A79"/>
    <w:rsid w:val="007511C5"/>
    <w:rsid w:val="00760023"/>
    <w:rsid w:val="00762CAB"/>
    <w:rsid w:val="007644A9"/>
    <w:rsid w:val="00771302"/>
    <w:rsid w:val="00771DDB"/>
    <w:rsid w:val="007764D1"/>
    <w:rsid w:val="007775D8"/>
    <w:rsid w:val="00780729"/>
    <w:rsid w:val="0078103F"/>
    <w:rsid w:val="007819C6"/>
    <w:rsid w:val="007854BD"/>
    <w:rsid w:val="007931A3"/>
    <w:rsid w:val="00793329"/>
    <w:rsid w:val="00794346"/>
    <w:rsid w:val="0079588F"/>
    <w:rsid w:val="007A351F"/>
    <w:rsid w:val="007A39B9"/>
    <w:rsid w:val="007A58ED"/>
    <w:rsid w:val="007B3F23"/>
    <w:rsid w:val="007C171E"/>
    <w:rsid w:val="007C3AD2"/>
    <w:rsid w:val="007E219B"/>
    <w:rsid w:val="007E3A00"/>
    <w:rsid w:val="007E5EC9"/>
    <w:rsid w:val="007F0186"/>
    <w:rsid w:val="007F03A5"/>
    <w:rsid w:val="007F0DDD"/>
    <w:rsid w:val="007F1A97"/>
    <w:rsid w:val="00812264"/>
    <w:rsid w:val="008212F6"/>
    <w:rsid w:val="008235FD"/>
    <w:rsid w:val="00825D04"/>
    <w:rsid w:val="008279FA"/>
    <w:rsid w:val="00834486"/>
    <w:rsid w:val="008520FA"/>
    <w:rsid w:val="00855889"/>
    <w:rsid w:val="00857284"/>
    <w:rsid w:val="00863CEE"/>
    <w:rsid w:val="00867017"/>
    <w:rsid w:val="00871620"/>
    <w:rsid w:val="0087358D"/>
    <w:rsid w:val="00873E30"/>
    <w:rsid w:val="0088006B"/>
    <w:rsid w:val="00881006"/>
    <w:rsid w:val="00885478"/>
    <w:rsid w:val="00886AD5"/>
    <w:rsid w:val="00890D44"/>
    <w:rsid w:val="008916C0"/>
    <w:rsid w:val="00892B31"/>
    <w:rsid w:val="0089383F"/>
    <w:rsid w:val="008A170F"/>
    <w:rsid w:val="008A46BF"/>
    <w:rsid w:val="008A4BAE"/>
    <w:rsid w:val="008A6C16"/>
    <w:rsid w:val="008B3B55"/>
    <w:rsid w:val="008C23D3"/>
    <w:rsid w:val="008C2436"/>
    <w:rsid w:val="008C3A8A"/>
    <w:rsid w:val="008C5049"/>
    <w:rsid w:val="008C67D5"/>
    <w:rsid w:val="008C6C54"/>
    <w:rsid w:val="008D09EF"/>
    <w:rsid w:val="008D3518"/>
    <w:rsid w:val="008D572E"/>
    <w:rsid w:val="008D745B"/>
    <w:rsid w:val="008E4085"/>
    <w:rsid w:val="008E74E4"/>
    <w:rsid w:val="008E74FD"/>
    <w:rsid w:val="008E7DFF"/>
    <w:rsid w:val="008F102E"/>
    <w:rsid w:val="008F1655"/>
    <w:rsid w:val="008F72E6"/>
    <w:rsid w:val="00905FC5"/>
    <w:rsid w:val="00920EEC"/>
    <w:rsid w:val="00923F8F"/>
    <w:rsid w:val="0092416A"/>
    <w:rsid w:val="00924813"/>
    <w:rsid w:val="00927F85"/>
    <w:rsid w:val="00931F57"/>
    <w:rsid w:val="00942FEE"/>
    <w:rsid w:val="00946376"/>
    <w:rsid w:val="0094686D"/>
    <w:rsid w:val="00951300"/>
    <w:rsid w:val="0095194D"/>
    <w:rsid w:val="00956466"/>
    <w:rsid w:val="00972989"/>
    <w:rsid w:val="00981212"/>
    <w:rsid w:val="009874EB"/>
    <w:rsid w:val="00987E8B"/>
    <w:rsid w:val="00991378"/>
    <w:rsid w:val="0099769D"/>
    <w:rsid w:val="00997828"/>
    <w:rsid w:val="00997CFA"/>
    <w:rsid w:val="009B0BD9"/>
    <w:rsid w:val="009B17EA"/>
    <w:rsid w:val="009B4832"/>
    <w:rsid w:val="009B6385"/>
    <w:rsid w:val="009C1D51"/>
    <w:rsid w:val="009C3B0D"/>
    <w:rsid w:val="009C4143"/>
    <w:rsid w:val="009C464D"/>
    <w:rsid w:val="009D16F9"/>
    <w:rsid w:val="009D1B7A"/>
    <w:rsid w:val="009D7BC5"/>
    <w:rsid w:val="009E033C"/>
    <w:rsid w:val="009E0700"/>
    <w:rsid w:val="009E1AF7"/>
    <w:rsid w:val="009E513F"/>
    <w:rsid w:val="009E7F55"/>
    <w:rsid w:val="009F0846"/>
    <w:rsid w:val="009F2F79"/>
    <w:rsid w:val="00A01D93"/>
    <w:rsid w:val="00A02460"/>
    <w:rsid w:val="00A042B6"/>
    <w:rsid w:val="00A04AA3"/>
    <w:rsid w:val="00A050CF"/>
    <w:rsid w:val="00A136B5"/>
    <w:rsid w:val="00A1443F"/>
    <w:rsid w:val="00A14E7C"/>
    <w:rsid w:val="00A20A41"/>
    <w:rsid w:val="00A25ADF"/>
    <w:rsid w:val="00A27CD8"/>
    <w:rsid w:val="00A35206"/>
    <w:rsid w:val="00A36B13"/>
    <w:rsid w:val="00A375EE"/>
    <w:rsid w:val="00A37E65"/>
    <w:rsid w:val="00A42D11"/>
    <w:rsid w:val="00A4376C"/>
    <w:rsid w:val="00A507F7"/>
    <w:rsid w:val="00A53E4F"/>
    <w:rsid w:val="00A5779A"/>
    <w:rsid w:val="00A57BCD"/>
    <w:rsid w:val="00A609D4"/>
    <w:rsid w:val="00A653EB"/>
    <w:rsid w:val="00A70154"/>
    <w:rsid w:val="00A73359"/>
    <w:rsid w:val="00A77861"/>
    <w:rsid w:val="00A804AD"/>
    <w:rsid w:val="00A80CEF"/>
    <w:rsid w:val="00A814A3"/>
    <w:rsid w:val="00A82278"/>
    <w:rsid w:val="00A830BF"/>
    <w:rsid w:val="00A846DD"/>
    <w:rsid w:val="00A8508A"/>
    <w:rsid w:val="00A872FB"/>
    <w:rsid w:val="00A90E0D"/>
    <w:rsid w:val="00A92194"/>
    <w:rsid w:val="00A924D0"/>
    <w:rsid w:val="00A94872"/>
    <w:rsid w:val="00A97B5F"/>
    <w:rsid w:val="00AA4CE9"/>
    <w:rsid w:val="00AB02DD"/>
    <w:rsid w:val="00AB1BB1"/>
    <w:rsid w:val="00AB2A3B"/>
    <w:rsid w:val="00AB4FBC"/>
    <w:rsid w:val="00AB672D"/>
    <w:rsid w:val="00AB75CB"/>
    <w:rsid w:val="00AB7B30"/>
    <w:rsid w:val="00AC11A9"/>
    <w:rsid w:val="00AC4507"/>
    <w:rsid w:val="00AC7D8D"/>
    <w:rsid w:val="00AD0C02"/>
    <w:rsid w:val="00AD4485"/>
    <w:rsid w:val="00AD70B3"/>
    <w:rsid w:val="00AD7C06"/>
    <w:rsid w:val="00B000D2"/>
    <w:rsid w:val="00B00B95"/>
    <w:rsid w:val="00B02124"/>
    <w:rsid w:val="00B0333E"/>
    <w:rsid w:val="00B075A5"/>
    <w:rsid w:val="00B07C14"/>
    <w:rsid w:val="00B109BA"/>
    <w:rsid w:val="00B15CE1"/>
    <w:rsid w:val="00B17C34"/>
    <w:rsid w:val="00B233A2"/>
    <w:rsid w:val="00B23EF5"/>
    <w:rsid w:val="00B24B2E"/>
    <w:rsid w:val="00B2577A"/>
    <w:rsid w:val="00B27798"/>
    <w:rsid w:val="00B312A0"/>
    <w:rsid w:val="00B317B2"/>
    <w:rsid w:val="00B3748E"/>
    <w:rsid w:val="00B42274"/>
    <w:rsid w:val="00B45825"/>
    <w:rsid w:val="00B51760"/>
    <w:rsid w:val="00B52598"/>
    <w:rsid w:val="00B655FB"/>
    <w:rsid w:val="00B660C4"/>
    <w:rsid w:val="00B73F9A"/>
    <w:rsid w:val="00B81037"/>
    <w:rsid w:val="00B81991"/>
    <w:rsid w:val="00B91D6B"/>
    <w:rsid w:val="00B937CE"/>
    <w:rsid w:val="00B95533"/>
    <w:rsid w:val="00B95827"/>
    <w:rsid w:val="00B966DB"/>
    <w:rsid w:val="00B96FC7"/>
    <w:rsid w:val="00B974D9"/>
    <w:rsid w:val="00B97A00"/>
    <w:rsid w:val="00B97E0E"/>
    <w:rsid w:val="00BA0300"/>
    <w:rsid w:val="00BA2911"/>
    <w:rsid w:val="00BA4EC9"/>
    <w:rsid w:val="00BA6411"/>
    <w:rsid w:val="00BA7742"/>
    <w:rsid w:val="00BB77D8"/>
    <w:rsid w:val="00BC27FF"/>
    <w:rsid w:val="00BC4A17"/>
    <w:rsid w:val="00BC6366"/>
    <w:rsid w:val="00BD145C"/>
    <w:rsid w:val="00BE347B"/>
    <w:rsid w:val="00BE467A"/>
    <w:rsid w:val="00BE4CF8"/>
    <w:rsid w:val="00BF114C"/>
    <w:rsid w:val="00BF19B2"/>
    <w:rsid w:val="00C0094A"/>
    <w:rsid w:val="00C034CE"/>
    <w:rsid w:val="00C1102E"/>
    <w:rsid w:val="00C11FCD"/>
    <w:rsid w:val="00C16B37"/>
    <w:rsid w:val="00C17729"/>
    <w:rsid w:val="00C17B6F"/>
    <w:rsid w:val="00C205A9"/>
    <w:rsid w:val="00C26E59"/>
    <w:rsid w:val="00C27679"/>
    <w:rsid w:val="00C27EFC"/>
    <w:rsid w:val="00C32980"/>
    <w:rsid w:val="00C32F6A"/>
    <w:rsid w:val="00C403CC"/>
    <w:rsid w:val="00C432FA"/>
    <w:rsid w:val="00C43422"/>
    <w:rsid w:val="00C504F8"/>
    <w:rsid w:val="00C52A6C"/>
    <w:rsid w:val="00C55904"/>
    <w:rsid w:val="00C61182"/>
    <w:rsid w:val="00C64822"/>
    <w:rsid w:val="00C64BE5"/>
    <w:rsid w:val="00C65FAB"/>
    <w:rsid w:val="00C67AE0"/>
    <w:rsid w:val="00C67C07"/>
    <w:rsid w:val="00C67C6C"/>
    <w:rsid w:val="00C706E1"/>
    <w:rsid w:val="00C829B8"/>
    <w:rsid w:val="00C92F5D"/>
    <w:rsid w:val="00C93769"/>
    <w:rsid w:val="00C93DEC"/>
    <w:rsid w:val="00CA05E7"/>
    <w:rsid w:val="00CA798B"/>
    <w:rsid w:val="00CB5B43"/>
    <w:rsid w:val="00CB5B63"/>
    <w:rsid w:val="00CB6C6C"/>
    <w:rsid w:val="00CC1A00"/>
    <w:rsid w:val="00CC2A89"/>
    <w:rsid w:val="00CC3DE6"/>
    <w:rsid w:val="00CC701F"/>
    <w:rsid w:val="00CC70F6"/>
    <w:rsid w:val="00CE09CD"/>
    <w:rsid w:val="00CE308F"/>
    <w:rsid w:val="00CE325A"/>
    <w:rsid w:val="00CE6EC6"/>
    <w:rsid w:val="00CF27AC"/>
    <w:rsid w:val="00CF2B8A"/>
    <w:rsid w:val="00CF508A"/>
    <w:rsid w:val="00D00543"/>
    <w:rsid w:val="00D0079C"/>
    <w:rsid w:val="00D04200"/>
    <w:rsid w:val="00D04FE1"/>
    <w:rsid w:val="00D05FF6"/>
    <w:rsid w:val="00D066FB"/>
    <w:rsid w:val="00D0689D"/>
    <w:rsid w:val="00D06A08"/>
    <w:rsid w:val="00D07426"/>
    <w:rsid w:val="00D11983"/>
    <w:rsid w:val="00D12A6A"/>
    <w:rsid w:val="00D13764"/>
    <w:rsid w:val="00D2297A"/>
    <w:rsid w:val="00D25A36"/>
    <w:rsid w:val="00D314B4"/>
    <w:rsid w:val="00D32E1C"/>
    <w:rsid w:val="00D3411E"/>
    <w:rsid w:val="00D345AA"/>
    <w:rsid w:val="00D3522E"/>
    <w:rsid w:val="00D40397"/>
    <w:rsid w:val="00D40BDA"/>
    <w:rsid w:val="00D43BB1"/>
    <w:rsid w:val="00D44287"/>
    <w:rsid w:val="00D4769F"/>
    <w:rsid w:val="00D47C3B"/>
    <w:rsid w:val="00D505A8"/>
    <w:rsid w:val="00D50930"/>
    <w:rsid w:val="00D51C9E"/>
    <w:rsid w:val="00D530DB"/>
    <w:rsid w:val="00D574AA"/>
    <w:rsid w:val="00D5782C"/>
    <w:rsid w:val="00D57B8B"/>
    <w:rsid w:val="00D60C26"/>
    <w:rsid w:val="00D7023F"/>
    <w:rsid w:val="00D72F11"/>
    <w:rsid w:val="00D72F89"/>
    <w:rsid w:val="00D75012"/>
    <w:rsid w:val="00D753C3"/>
    <w:rsid w:val="00D77017"/>
    <w:rsid w:val="00D7711F"/>
    <w:rsid w:val="00D77CA1"/>
    <w:rsid w:val="00D83093"/>
    <w:rsid w:val="00D843FF"/>
    <w:rsid w:val="00D870F9"/>
    <w:rsid w:val="00D9588F"/>
    <w:rsid w:val="00DA4AFF"/>
    <w:rsid w:val="00DB132F"/>
    <w:rsid w:val="00DB1855"/>
    <w:rsid w:val="00DB61FE"/>
    <w:rsid w:val="00DC03A2"/>
    <w:rsid w:val="00DC15F4"/>
    <w:rsid w:val="00DC1F9F"/>
    <w:rsid w:val="00DC2DA9"/>
    <w:rsid w:val="00DC644E"/>
    <w:rsid w:val="00DC6B99"/>
    <w:rsid w:val="00DC7DC9"/>
    <w:rsid w:val="00DD1FDA"/>
    <w:rsid w:val="00DD3C9E"/>
    <w:rsid w:val="00DD558B"/>
    <w:rsid w:val="00DD5891"/>
    <w:rsid w:val="00DD723E"/>
    <w:rsid w:val="00DE6371"/>
    <w:rsid w:val="00DF04BD"/>
    <w:rsid w:val="00DF0998"/>
    <w:rsid w:val="00DF30DD"/>
    <w:rsid w:val="00DF3902"/>
    <w:rsid w:val="00DF4D37"/>
    <w:rsid w:val="00E00043"/>
    <w:rsid w:val="00E000D4"/>
    <w:rsid w:val="00E00947"/>
    <w:rsid w:val="00E063A7"/>
    <w:rsid w:val="00E10462"/>
    <w:rsid w:val="00E119F5"/>
    <w:rsid w:val="00E14B0C"/>
    <w:rsid w:val="00E1756A"/>
    <w:rsid w:val="00E209E0"/>
    <w:rsid w:val="00E217ED"/>
    <w:rsid w:val="00E26C74"/>
    <w:rsid w:val="00E27782"/>
    <w:rsid w:val="00E302F1"/>
    <w:rsid w:val="00E30AC0"/>
    <w:rsid w:val="00E3231B"/>
    <w:rsid w:val="00E33098"/>
    <w:rsid w:val="00E3786C"/>
    <w:rsid w:val="00E40161"/>
    <w:rsid w:val="00E402FE"/>
    <w:rsid w:val="00E41A17"/>
    <w:rsid w:val="00E473D5"/>
    <w:rsid w:val="00E55D5D"/>
    <w:rsid w:val="00E6248D"/>
    <w:rsid w:val="00E6280A"/>
    <w:rsid w:val="00E7528A"/>
    <w:rsid w:val="00E84C0D"/>
    <w:rsid w:val="00E9061F"/>
    <w:rsid w:val="00E929CC"/>
    <w:rsid w:val="00E9489B"/>
    <w:rsid w:val="00E94C34"/>
    <w:rsid w:val="00E94C49"/>
    <w:rsid w:val="00E950FD"/>
    <w:rsid w:val="00E95F79"/>
    <w:rsid w:val="00E96703"/>
    <w:rsid w:val="00EA29E4"/>
    <w:rsid w:val="00EA63A7"/>
    <w:rsid w:val="00EA7A29"/>
    <w:rsid w:val="00EA7AEB"/>
    <w:rsid w:val="00EB44BE"/>
    <w:rsid w:val="00EB51E7"/>
    <w:rsid w:val="00EC22C6"/>
    <w:rsid w:val="00ED08F1"/>
    <w:rsid w:val="00ED0C3F"/>
    <w:rsid w:val="00ED2858"/>
    <w:rsid w:val="00EE0A5C"/>
    <w:rsid w:val="00EE2041"/>
    <w:rsid w:val="00EE71AB"/>
    <w:rsid w:val="00EF0078"/>
    <w:rsid w:val="00EF07A1"/>
    <w:rsid w:val="00EF1B5A"/>
    <w:rsid w:val="00EF2B11"/>
    <w:rsid w:val="00F00E6D"/>
    <w:rsid w:val="00F0103C"/>
    <w:rsid w:val="00F03AA7"/>
    <w:rsid w:val="00F04842"/>
    <w:rsid w:val="00F05090"/>
    <w:rsid w:val="00F11026"/>
    <w:rsid w:val="00F11AEB"/>
    <w:rsid w:val="00F215A3"/>
    <w:rsid w:val="00F22EF9"/>
    <w:rsid w:val="00F23809"/>
    <w:rsid w:val="00F25982"/>
    <w:rsid w:val="00F2641D"/>
    <w:rsid w:val="00F26654"/>
    <w:rsid w:val="00F34194"/>
    <w:rsid w:val="00F3545F"/>
    <w:rsid w:val="00F37B11"/>
    <w:rsid w:val="00F408C8"/>
    <w:rsid w:val="00F40C26"/>
    <w:rsid w:val="00F41FA3"/>
    <w:rsid w:val="00F46B2F"/>
    <w:rsid w:val="00F474CF"/>
    <w:rsid w:val="00F53835"/>
    <w:rsid w:val="00F60851"/>
    <w:rsid w:val="00F63872"/>
    <w:rsid w:val="00F64052"/>
    <w:rsid w:val="00F64196"/>
    <w:rsid w:val="00F64686"/>
    <w:rsid w:val="00F65200"/>
    <w:rsid w:val="00F702FF"/>
    <w:rsid w:val="00F70893"/>
    <w:rsid w:val="00F7549B"/>
    <w:rsid w:val="00F75DD2"/>
    <w:rsid w:val="00F7653B"/>
    <w:rsid w:val="00F833B1"/>
    <w:rsid w:val="00F86B2C"/>
    <w:rsid w:val="00F87E6A"/>
    <w:rsid w:val="00F907A6"/>
    <w:rsid w:val="00F90C99"/>
    <w:rsid w:val="00F945CB"/>
    <w:rsid w:val="00F97D93"/>
    <w:rsid w:val="00FA0C0B"/>
    <w:rsid w:val="00FA1232"/>
    <w:rsid w:val="00FA4194"/>
    <w:rsid w:val="00FA4C8B"/>
    <w:rsid w:val="00FA7A67"/>
    <w:rsid w:val="00FB062B"/>
    <w:rsid w:val="00FB5E5A"/>
    <w:rsid w:val="00FB629A"/>
    <w:rsid w:val="00FB76CB"/>
    <w:rsid w:val="00FB78D8"/>
    <w:rsid w:val="00FC050C"/>
    <w:rsid w:val="00FC12C8"/>
    <w:rsid w:val="00FC13CA"/>
    <w:rsid w:val="00FC366E"/>
    <w:rsid w:val="00FC5393"/>
    <w:rsid w:val="00FC5A54"/>
    <w:rsid w:val="00FC62DB"/>
    <w:rsid w:val="00FD0655"/>
    <w:rsid w:val="00FD19C1"/>
    <w:rsid w:val="00FD3D67"/>
    <w:rsid w:val="00FD3F55"/>
    <w:rsid w:val="00FD44C9"/>
    <w:rsid w:val="00FE14B0"/>
    <w:rsid w:val="00FE4A30"/>
    <w:rsid w:val="00FF00DE"/>
    <w:rsid w:val="00FF1D4B"/>
    <w:rsid w:val="00FF21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0689D"/>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Listenabsatz">
    <w:name w:val="List Paragraph"/>
    <w:basedOn w:val="Standard"/>
    <w:uiPriority w:val="34"/>
    <w:qFormat/>
    <w:rsid w:val="00B52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45147560">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595406146">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685405768">
      <w:bodyDiv w:val="1"/>
      <w:marLeft w:val="0"/>
      <w:marRight w:val="0"/>
      <w:marTop w:val="0"/>
      <w:marBottom w:val="0"/>
      <w:divBdr>
        <w:top w:val="none" w:sz="0" w:space="0" w:color="auto"/>
        <w:left w:val="none" w:sz="0" w:space="0" w:color="auto"/>
        <w:bottom w:val="none" w:sz="0" w:space="0" w:color="auto"/>
        <w:right w:val="none" w:sz="0" w:space="0" w:color="auto"/>
      </w:divBdr>
    </w:div>
    <w:div w:id="725838175">
      <w:bodyDiv w:val="1"/>
      <w:marLeft w:val="0"/>
      <w:marRight w:val="0"/>
      <w:marTop w:val="0"/>
      <w:marBottom w:val="0"/>
      <w:divBdr>
        <w:top w:val="none" w:sz="0" w:space="0" w:color="auto"/>
        <w:left w:val="none" w:sz="0" w:space="0" w:color="auto"/>
        <w:bottom w:val="none" w:sz="0" w:space="0" w:color="auto"/>
        <w:right w:val="none" w:sz="0" w:space="0" w:color="auto"/>
      </w:divBdr>
    </w:div>
    <w:div w:id="80874496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963345782">
      <w:bodyDiv w:val="1"/>
      <w:marLeft w:val="0"/>
      <w:marRight w:val="0"/>
      <w:marTop w:val="0"/>
      <w:marBottom w:val="0"/>
      <w:divBdr>
        <w:top w:val="none" w:sz="0" w:space="0" w:color="auto"/>
        <w:left w:val="none" w:sz="0" w:space="0" w:color="auto"/>
        <w:bottom w:val="none" w:sz="0" w:space="0" w:color="auto"/>
        <w:right w:val="none" w:sz="0" w:space="0" w:color="auto"/>
      </w:divBdr>
    </w:div>
    <w:div w:id="1250776822">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05381902">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21231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kraefte-buendeln-eine-altreifen-resolution-fuer-die-eu/" TargetMode="Externa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g-w.net"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c.guth@c-g-w.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zur-netzwerk.de."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9130D-1B7F-4903-9BBD-DA9B527BB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1487</Words>
  <Characters>9369</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3</cp:revision>
  <cp:lastPrinted>2024-04-29T06:23:00Z</cp:lastPrinted>
  <dcterms:created xsi:type="dcterms:W3CDTF">2024-04-26T10:49:00Z</dcterms:created>
  <dcterms:modified xsi:type="dcterms:W3CDTF">2024-04-29T06:23:00Z</dcterms:modified>
</cp:coreProperties>
</file>